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园林绿化中心</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园林绿化中心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部门</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部门</w:t>
      </w:r>
      <w:r>
        <w:rPr>
          <w:rFonts w:ascii="Times New Roman" w:hAnsi="Times New Roman" w:eastAsia="楷体_GB2312" w:cs="Times New Roman"/>
          <w:b/>
          <w:sz w:val="32"/>
          <w:szCs w:val="32"/>
        </w:rPr>
        <w:t>职责：</w:t>
      </w:r>
    </w:p>
    <w:p>
      <w:pPr>
        <w:ind w:firstLine="640" w:firstLineChars="200"/>
        <w:rPr>
          <w:rFonts w:ascii="仿宋_GB2312" w:eastAsia="仿宋_GB2312"/>
          <w:sz w:val="32"/>
          <w:szCs w:val="32"/>
        </w:rPr>
      </w:pPr>
      <w:r>
        <w:rPr>
          <w:rFonts w:hint="eastAsia" w:ascii="仿宋_GB2312" w:eastAsia="仿宋_GB2312"/>
          <w:sz w:val="32"/>
          <w:szCs w:val="32"/>
        </w:rPr>
        <w:t>（一）负责根据县城绿化规划和县委、县政府安排部署，研究拟订城区年度绿化工作计划和方案，并组织实施有关绿化工程建设；</w:t>
      </w:r>
    </w:p>
    <w:p>
      <w:pPr>
        <w:ind w:firstLine="640" w:firstLineChars="200"/>
        <w:rPr>
          <w:rFonts w:ascii="仿宋_GB2312" w:eastAsia="仿宋_GB2312"/>
          <w:sz w:val="32"/>
          <w:szCs w:val="32"/>
        </w:rPr>
      </w:pPr>
      <w:r>
        <w:rPr>
          <w:rFonts w:hint="eastAsia" w:ascii="仿宋_GB2312" w:eastAsia="仿宋_GB2312"/>
          <w:iCs/>
          <w:sz w:val="32"/>
          <w:szCs w:val="32"/>
        </w:rPr>
        <w:t>（二）</w:t>
      </w:r>
      <w:r>
        <w:rPr>
          <w:rFonts w:hint="eastAsia" w:ascii="仿宋_GB2312" w:eastAsia="仿宋_GB2312"/>
          <w:sz w:val="32"/>
          <w:szCs w:val="32"/>
        </w:rPr>
        <w:t>参与城区园林绿化建设和园林县城创建工作；</w:t>
      </w:r>
    </w:p>
    <w:p>
      <w:pPr>
        <w:ind w:firstLine="640" w:firstLineChars="200"/>
        <w:rPr>
          <w:rFonts w:ascii="仿宋_GB2312" w:eastAsia="仿宋_GB2312"/>
          <w:sz w:val="32"/>
          <w:szCs w:val="32"/>
        </w:rPr>
      </w:pPr>
      <w:r>
        <w:rPr>
          <w:rFonts w:hint="eastAsia" w:ascii="仿宋_GB2312" w:eastAsia="仿宋_GB2312"/>
          <w:iCs/>
          <w:sz w:val="32"/>
          <w:szCs w:val="32"/>
        </w:rPr>
        <w:t>（三）</w:t>
      </w:r>
      <w:r>
        <w:rPr>
          <w:rFonts w:hint="eastAsia" w:ascii="仿宋_GB2312" w:eastAsia="仿宋_GB2312"/>
          <w:sz w:val="32"/>
          <w:szCs w:val="32"/>
        </w:rPr>
        <w:t>负责城区内所辖园林绿化成果的管护、保养、维修工作；</w:t>
      </w:r>
    </w:p>
    <w:p>
      <w:pPr>
        <w:ind w:firstLine="640" w:firstLineChars="200"/>
        <w:rPr>
          <w:rFonts w:ascii="仿宋_GB2312" w:eastAsia="仿宋_GB2312"/>
          <w:sz w:val="32"/>
          <w:szCs w:val="32"/>
        </w:rPr>
      </w:pPr>
      <w:r>
        <w:rPr>
          <w:rFonts w:hint="eastAsia" w:ascii="仿宋_GB2312" w:eastAsia="仿宋_GB2312"/>
          <w:sz w:val="32"/>
          <w:szCs w:val="32"/>
        </w:rPr>
        <w:t>（四）负责对城区所辖园林绿化成果进行巡护、巡查，及时制止损毁行为；</w:t>
      </w:r>
    </w:p>
    <w:p>
      <w:pPr>
        <w:ind w:firstLine="640" w:firstLineChars="200"/>
        <w:rPr>
          <w:rFonts w:hint="eastAsia" w:ascii="仿宋_GB2312" w:eastAsia="仿宋_GB2312"/>
          <w:sz w:val="32"/>
          <w:szCs w:val="32"/>
        </w:rPr>
      </w:pPr>
      <w:r>
        <w:rPr>
          <w:rFonts w:hint="eastAsia" w:ascii="仿宋_GB2312" w:eastAsia="仿宋_GB2312"/>
          <w:sz w:val="32"/>
          <w:szCs w:val="32"/>
        </w:rPr>
        <w:t>（五）承办县委、县政府交办的其它事项。</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部门</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lang w:val="en-US" w:eastAsia="zh-CN"/>
              </w:rPr>
              <w:t>单位</w:t>
            </w:r>
            <w:r>
              <w:rPr>
                <w:rFonts w:ascii="Times New Roman" w:hAnsi="Times New Roman" w:eastAsia="仿宋_GB2312" w:cs="Times New Roman"/>
                <w:b/>
                <w:szCs w:val="24"/>
              </w:rPr>
              <w:t>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lang w:val="en-US" w:eastAsia="zh-CN"/>
              </w:rPr>
              <w:t>单位</w:t>
            </w:r>
            <w:r>
              <w:rPr>
                <w:rFonts w:ascii="Times New Roman" w:hAnsi="Times New Roman" w:eastAsia="仿宋_GB2312" w:cs="Times New Roman"/>
                <w:b/>
                <w:szCs w:val="24"/>
              </w:rPr>
              <w:t>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rPr>
              <w:t>香河县园林绿化</w:t>
            </w:r>
            <w:r>
              <w:rPr>
                <w:rFonts w:hint="eastAsia" w:ascii="Times New Roman" w:hAnsi="Times New Roman" w:eastAsia="仿宋_GB2312" w:cs="Times New Roman"/>
                <w:b/>
                <w:lang w:val="en-US" w:eastAsia="zh-CN"/>
              </w:rPr>
              <w:t>中心</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 w:cs="Times New Roman"/>
                <w:color w:val="000000" w:themeColor="text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部门</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rPr>
        <w:t>园林绿化中心</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sz w:val="32"/>
          <w:szCs w:val="32"/>
        </w:rPr>
        <w:t>5637.12</w:t>
      </w:r>
      <w:r>
        <w:rPr>
          <w:rFonts w:ascii="Times New Roman" w:hAnsi="Times New Roman" w:eastAsia="仿宋_GB2312" w:cs="Times New Roman"/>
          <w:sz w:val="32"/>
          <w:szCs w:val="32"/>
        </w:rPr>
        <w:t>万元，其中：一般公共预算收入</w:t>
      </w:r>
      <w:r>
        <w:rPr>
          <w:sz w:val="32"/>
          <w:szCs w:val="32"/>
        </w:rPr>
        <w:t>5348.29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288.83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园林绿化中心</w:t>
      </w:r>
      <w:r>
        <w:rPr>
          <w:rFonts w:ascii="Times New Roman" w:hAnsi="Times New Roman" w:eastAsia="仿宋_GB2312" w:cs="Times New Roman"/>
          <w:sz w:val="32"/>
          <w:szCs w:val="32"/>
        </w:rPr>
        <w:t>年度单位预算中支出预算的总体情况。202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5637.12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624.15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585.98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38.17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5012.97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城区绿化管护项目，绿化建设项目</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5637.12</w:t>
      </w:r>
      <w:r>
        <w:rPr>
          <w:rFonts w:ascii="Times New Roman" w:hAnsi="Times New Roman" w:eastAsia="仿宋_GB2312" w:cs="Times New Roman"/>
          <w:sz w:val="32"/>
          <w:szCs w:val="32"/>
        </w:rPr>
        <w:t>万元，较202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减少3429.24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增加93.32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减少3342.56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工程类</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38.17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园林绿化中心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w:t>
      </w:r>
      <w:r>
        <w:rPr>
          <w:rFonts w:ascii="Times New Roman" w:hAnsi="Times New Roman" w:eastAsia="仿宋_GB2312" w:cs="Times New Roman"/>
          <w:color w:val="000000" w:themeColor="text1"/>
          <w:sz w:val="32"/>
          <w:szCs w:val="32"/>
        </w:rPr>
        <w:t>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lang w:val="en-US" w:eastAsia="zh-CN"/>
        </w:rPr>
        <w:t>比</w:t>
      </w:r>
      <w:r>
        <w:rPr>
          <w:rFonts w:ascii="Times New Roman" w:hAnsi="Times New Roman" w:eastAsia="仿宋_GB2312" w:cs="Times New Roman"/>
          <w:color w:val="000000" w:themeColor="text1"/>
          <w:sz w:val="32"/>
          <w:szCs w:val="32"/>
        </w:rPr>
        <w:t>减</w:t>
      </w:r>
      <w:r>
        <w:rPr>
          <w:rFonts w:hint="eastAsia" w:ascii="Times New Roman" w:hAnsi="Times New Roman" w:eastAsia="仿宋_GB2312" w:cs="Times New Roman"/>
          <w:color w:val="000000" w:themeColor="text1"/>
          <w:sz w:val="32"/>
          <w:szCs w:val="32"/>
          <w:lang w:val="en-US" w:eastAsia="zh-CN"/>
        </w:rPr>
        <w:t>少0.38万元</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sz w:val="32"/>
          <w:szCs w:val="32"/>
        </w:rPr>
        <w:t>（其中：公务用车购置费与202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w:t>
      </w:r>
      <w:r>
        <w:rPr>
          <w:rFonts w:ascii="Times New Roman" w:hAnsi="Times New Roman" w:eastAsia="仿宋_GB2312" w:cs="Times New Roman"/>
          <w:color w:val="000000" w:themeColor="text1"/>
          <w:sz w:val="32"/>
          <w:szCs w:val="32"/>
        </w:rPr>
        <w:t>无增减变化</w:t>
      </w:r>
      <w:r>
        <w:rPr>
          <w:rFonts w:ascii="Times New Roman" w:hAnsi="Times New Roman" w:eastAsia="仿宋_GB2312" w:cs="Times New Roman"/>
          <w:sz w:val="32"/>
          <w:szCs w:val="32"/>
        </w:rPr>
        <w:t>，公务用车运维费与202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lang w:val="en-US" w:eastAsia="zh-CN"/>
        </w:rPr>
        <w:t>比</w:t>
      </w:r>
      <w:r>
        <w:rPr>
          <w:rFonts w:ascii="Times New Roman" w:hAnsi="Times New Roman" w:eastAsia="仿宋_GB2312" w:cs="Times New Roman"/>
          <w:color w:val="000000" w:themeColor="text1"/>
          <w:sz w:val="32"/>
          <w:szCs w:val="32"/>
        </w:rPr>
        <w:t>减</w:t>
      </w:r>
      <w:r>
        <w:rPr>
          <w:rFonts w:hint="eastAsia" w:ascii="Times New Roman" w:hAnsi="Times New Roman" w:eastAsia="仿宋_GB2312" w:cs="Times New Roman"/>
          <w:color w:val="000000" w:themeColor="text1"/>
          <w:sz w:val="32"/>
          <w:szCs w:val="32"/>
          <w:lang w:val="en-US" w:eastAsia="zh-CN"/>
        </w:rPr>
        <w:t>少0.38万元</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numPr>
          <w:ilvl w:val="0"/>
          <w:numId w:val="0"/>
        </w:numPr>
        <w:spacing w:line="584" w:lineRule="exact"/>
        <w:rPr>
          <w:rFonts w:ascii="Times New Roman" w:hAnsi="Times New Roman" w:eastAsia="黑体" w:cs="Times New Roman"/>
          <w:sz w:val="32"/>
          <w:szCs w:val="32"/>
        </w:rPr>
      </w:pPr>
    </w:p>
    <w:p>
      <w:pPr>
        <w:numPr>
          <w:ilvl w:val="0"/>
          <w:numId w:val="2"/>
        </w:numPr>
        <w:spacing w:line="584" w:lineRule="exac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总体绩效目标</w:t>
      </w:r>
    </w:p>
    <w:p>
      <w:pPr>
        <w:numPr>
          <w:ilvl w:val="0"/>
          <w:numId w:val="0"/>
        </w:num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贯彻执行国家、省</w:t>
      </w:r>
      <w:r>
        <w:rPr>
          <w:rFonts w:hint="eastAsia" w:ascii="Times New Roman" w:hAnsi="Times New Roman" w:eastAsia="仿宋_GB2312" w:cs="Times New Roman"/>
          <w:sz w:val="32"/>
          <w:szCs w:val="32"/>
          <w:lang w:val="en-US" w:eastAsia="zh-CN"/>
        </w:rPr>
        <w:t>市绿化条例文件，对照标准执行。</w:t>
      </w:r>
    </w:p>
    <w:p>
      <w:pPr>
        <w:numPr>
          <w:ilvl w:val="0"/>
          <w:numId w:val="2"/>
        </w:numPr>
        <w:spacing w:line="584" w:lineRule="exact"/>
        <w:ind w:left="0" w:leftChars="0" w:firstLine="0" w:firstLineChars="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numPr>
          <w:ilvl w:val="0"/>
          <w:numId w:val="3"/>
        </w:numPr>
        <w:spacing w:line="584" w:lineRule="exact"/>
        <w:ind w:leftChars="0" w:firstLine="643" w:firstLineChars="200"/>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自行管护管护标准</w:t>
      </w:r>
    </w:p>
    <w:p>
      <w:pPr>
        <w:pStyle w:val="23"/>
        <w:ind w:left="638" w:leftChars="304" w:firstLine="531" w:firstLineChars="166"/>
        <w:rPr>
          <w:rFonts w:hint="eastAsia" w:ascii="仿宋" w:hAnsi="仿宋" w:eastAsia="仿宋" w:cs="仿宋"/>
          <w:sz w:val="32"/>
          <w:szCs w:val="32"/>
        </w:rPr>
      </w:pPr>
      <w:r>
        <w:rPr>
          <w:rFonts w:hint="eastAsia" w:ascii="Times New Roman" w:hAnsi="Times New Roman" w:eastAsia="仿宋_GB2312" w:cs="Times New Roman"/>
          <w:sz w:val="32"/>
          <w:szCs w:val="32"/>
        </w:rPr>
        <w:t>绩效目标：</w:t>
      </w:r>
      <w:r>
        <w:rPr>
          <w:rFonts w:hint="eastAsia" w:ascii="仿宋" w:hAnsi="仿宋" w:eastAsia="仿宋" w:cs="仿宋"/>
          <w:sz w:val="32"/>
          <w:szCs w:val="32"/>
        </w:rPr>
        <w:t>通过项目的开展实现自管区域内绿化面积不减少、树木保成活、景观效果不降低等战略，保障创建国家园林县城的实现。</w:t>
      </w:r>
    </w:p>
    <w:p>
      <w:pPr>
        <w:widowControl w:val="0"/>
        <w:numPr>
          <w:ilvl w:val="0"/>
          <w:numId w:val="0"/>
        </w:numPr>
        <w:spacing w:line="584" w:lineRule="exact"/>
        <w:ind w:firstLine="1280" w:firstLineChars="400"/>
        <w:jc w:val="both"/>
        <w:rPr>
          <w:rFonts w:hint="eastAsia" w:ascii="楷体_GB2312" w:eastAsia="楷体_GB2312" w:cs="Times New Roman"/>
          <w:b/>
          <w:sz w:val="32"/>
          <w:szCs w:val="32"/>
          <w:lang w:val="en-US" w:eastAsia="zh-CN"/>
        </w:rPr>
      </w:pPr>
      <w:r>
        <w:rPr>
          <w:rFonts w:hint="eastAsia" w:ascii="Times New Roman" w:hAnsi="Times New Roman" w:eastAsia="仿宋_GB2312" w:cs="Times New Roman"/>
          <w:sz w:val="32"/>
          <w:szCs w:val="32"/>
        </w:rPr>
        <w:t>绩效指标：</w:t>
      </w:r>
      <w:r>
        <w:rPr>
          <w:rFonts w:hint="eastAsia" w:ascii="仿宋" w:hAnsi="仿宋" w:eastAsia="仿宋" w:cs="仿宋"/>
          <w:sz w:val="32"/>
          <w:szCs w:val="32"/>
        </w:rPr>
        <w:t>人均公共绿地面积</w:t>
      </w:r>
    </w:p>
    <w:p>
      <w:pPr>
        <w:numPr>
          <w:ilvl w:val="0"/>
          <w:numId w:val="3"/>
        </w:numPr>
        <w:spacing w:line="584" w:lineRule="exact"/>
        <w:ind w:leftChars="0" w:firstLine="643" w:firstLineChars="200"/>
        <w:rPr>
          <w:rFonts w:hint="default"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社会化管护管护标准</w:t>
      </w:r>
    </w:p>
    <w:p>
      <w:pPr>
        <w:pStyle w:val="23"/>
        <w:ind w:left="1070" w:leftChars="456" w:hanging="112" w:hangingChars="35"/>
        <w:rPr>
          <w:rFonts w:hint="eastAsia" w:ascii="仿宋" w:hAnsi="仿宋" w:eastAsia="仿宋" w:cs="仿宋"/>
          <w:sz w:val="32"/>
          <w:szCs w:val="32"/>
        </w:rPr>
      </w:pP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绩效目标：</w:t>
      </w:r>
      <w:r>
        <w:rPr>
          <w:rFonts w:hint="eastAsia" w:ascii="仿宋" w:hAnsi="仿宋" w:eastAsia="仿宋" w:cs="仿宋"/>
          <w:sz w:val="32"/>
          <w:szCs w:val="32"/>
        </w:rPr>
        <w:t>通过绿化管护，确保两年管护区域内绿化面积不减少、树木保成活、景观效果不降低，有利于创建国家园林县城。</w:t>
      </w:r>
    </w:p>
    <w:p>
      <w:pPr>
        <w:widowControl w:val="0"/>
        <w:numPr>
          <w:ilvl w:val="0"/>
          <w:numId w:val="0"/>
        </w:numPr>
        <w:spacing w:line="584" w:lineRule="exact"/>
        <w:ind w:firstLine="1280" w:firstLineChars="400"/>
        <w:jc w:val="both"/>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sz w:val="32"/>
          <w:szCs w:val="32"/>
        </w:rPr>
        <w:t>绩效指标：</w:t>
      </w:r>
      <w:r>
        <w:rPr>
          <w:rFonts w:hint="eastAsia" w:ascii="仿宋" w:hAnsi="仿宋" w:eastAsia="仿宋" w:cs="仿宋"/>
          <w:sz w:val="32"/>
          <w:szCs w:val="32"/>
        </w:rPr>
        <w:t>管护绿化维持率</w:t>
      </w:r>
    </w:p>
    <w:p>
      <w:pPr>
        <w:numPr>
          <w:ilvl w:val="0"/>
          <w:numId w:val="2"/>
        </w:numPr>
        <w:spacing w:line="584" w:lineRule="exact"/>
        <w:ind w:left="0" w:leftChars="0" w:firstLine="0" w:firstLineChars="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widowControl w:val="0"/>
        <w:numPr>
          <w:ilvl w:val="0"/>
          <w:numId w:val="4"/>
        </w:numPr>
        <w:spacing w:line="584" w:lineRule="exact"/>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完善制度建设</w:t>
      </w:r>
    </w:p>
    <w:p>
      <w:pPr>
        <w:pStyle w:val="24"/>
        <w:numPr>
          <w:ilvl w:val="0"/>
          <w:numId w:val="4"/>
        </w:numPr>
        <w:ind w:left="0" w:leftChars="0" w:firstLine="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加强支出管理。</w:t>
      </w:r>
    </w:p>
    <w:p>
      <w:pPr>
        <w:pStyle w:val="24"/>
        <w:numPr>
          <w:ilvl w:val="0"/>
          <w:numId w:val="4"/>
        </w:numPr>
        <w:ind w:left="0" w:leftChars="0"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w:t>
      </w:r>
    </w:p>
    <w:p>
      <w:pPr>
        <w:pStyle w:val="24"/>
        <w:numPr>
          <w:ilvl w:val="0"/>
          <w:numId w:val="4"/>
        </w:numPr>
        <w:ind w:left="0" w:leftChars="0" w:firstLine="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做好绩效自评。</w:t>
      </w:r>
    </w:p>
    <w:p>
      <w:pPr>
        <w:pStyle w:val="24"/>
        <w:numPr>
          <w:ilvl w:val="0"/>
          <w:numId w:val="4"/>
        </w:numPr>
        <w:ind w:left="0" w:leftChars="0"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规范财务资产管理。</w:t>
      </w: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pStyle w:val="24"/>
        <w:widowControl w:val="0"/>
        <w:numPr>
          <w:ilvl w:val="0"/>
          <w:numId w:val="0"/>
        </w:numPr>
        <w:spacing w:line="500" w:lineRule="exact"/>
        <w:jc w:val="both"/>
        <w:rPr>
          <w:rFonts w:hint="eastAsia" w:ascii="Times New Roman" w:hAnsi="Times New Roman" w:eastAsia="仿宋_GB2312" w:cs="Times New Roman"/>
          <w:sz w:val="32"/>
          <w:szCs w:val="32"/>
        </w:rPr>
      </w:pPr>
    </w:p>
    <w:p>
      <w:pPr>
        <w:numPr>
          <w:ilvl w:val="0"/>
          <w:numId w:val="0"/>
        </w:numPr>
        <w:overflowPunct w:val="0"/>
        <w:adjustRightInd w:val="0"/>
        <w:snapToGrid w:val="0"/>
        <w:spacing w:after="120" w:afterLines="50" w:line="580" w:lineRule="exact"/>
        <w:ind w:leftChars="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工程数量</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优=指标值，差≠指标值</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项目</w:t>
            </w:r>
            <w:r>
              <w:rPr>
                <w:rFonts w:hint="eastAsia" w:ascii="方正书宋_GBK" w:eastAsia="方正书宋_GBK"/>
              </w:rPr>
              <w:t>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both"/>
              <w:rPr>
                <w:rFonts w:hint="default" w:ascii="方正书宋_GBK" w:eastAsia="方正书宋_GBK"/>
                <w:lang w:val="en-US" w:eastAsia="zh-CN"/>
              </w:rPr>
            </w:pPr>
            <w:r>
              <w:rPr>
                <w:rFonts w:hint="eastAsia" w:ascii="方正书宋_GBK" w:eastAsia="方正书宋_GBK"/>
                <w:lang w:val="en-US" w:eastAsia="zh-CN"/>
              </w:rPr>
              <w:t>48</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根据县域实际需求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工作合格率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优≥95%，良≥85%，中≥85%，差＜85%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工作合格率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工作时效</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优=指标值，差≠指标值</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工作时效</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预算控制</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优≥95%，良≥85%，中≥85%，差＜85%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5012.97</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根据预算审核标准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业务保障能力提升情况</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优≥95%，良≥85%，中≥85%，差＜85%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业务保障能力提升情况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根据群众反映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社会效益指标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优≥95%，良≥85%，中≥85%，差＜85%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建设部门整体工作正常运转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根据群众反映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群优≥90%，良≥85%，中≥85%，差＜85%</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群众满意数量占总数的比例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根据群众反映</w:t>
            </w:r>
          </w:p>
        </w:tc>
      </w:tr>
    </w:tbl>
    <w:p>
      <w:pPr>
        <w:spacing w:line="584" w:lineRule="exact"/>
        <w:rPr>
          <w:rFonts w:ascii="仿宋_GB2312" w:eastAsia="仿宋_GB2312" w:cs="Times New Roman"/>
          <w:sz w:val="32"/>
          <w:szCs w:val="32"/>
        </w:rPr>
      </w:pPr>
    </w:p>
    <w:p>
      <w:pPr>
        <w:spacing w:line="584" w:lineRule="exact"/>
        <w:ind w:firstLine="643" w:firstLineChars="200"/>
        <w:rPr>
          <w:rFonts w:ascii="Times New Roman" w:hAnsi="Times New Roman" w:eastAsia="黑体" w:cs="Times New Roman"/>
          <w:sz w:val="32"/>
          <w:szCs w:val="32"/>
        </w:rPr>
      </w:pPr>
      <w:r>
        <w:rPr>
          <w:rFonts w:hint="eastAsia" w:ascii="楷体_GB2312" w:eastAsia="楷体_GB2312" w:cs="Times New Roman"/>
          <w:b/>
          <w:sz w:val="32"/>
          <w:szCs w:val="32"/>
          <w:lang w:val="en-US" w:eastAsia="zh-CN"/>
        </w:rPr>
        <w:t xml:space="preserve">   </w:t>
      </w:r>
      <w:r>
        <w:rPr>
          <w:rFonts w:hint="eastAsia" w:ascii="Times New Roman" w:hAnsi="Times New Roman" w:eastAsia="黑体" w:cs="Times New Roman"/>
          <w:sz w:val="32"/>
          <w:szCs w:val="32"/>
        </w:rPr>
        <w:t>第二部分 资金绩效目标</w:t>
      </w:r>
    </w:p>
    <w:p>
      <w:pPr>
        <w:widowControl w:val="0"/>
        <w:numPr>
          <w:ilvl w:val="0"/>
          <w:numId w:val="0"/>
        </w:numPr>
        <w:spacing w:line="584" w:lineRule="exact"/>
        <w:jc w:val="both"/>
        <w:rPr>
          <w:rFonts w:hint="default" w:ascii="楷体_GB2312" w:eastAsia="楷体_GB2312" w:cs="Times New Roman"/>
          <w:b/>
          <w:sz w:val="32"/>
          <w:szCs w:val="32"/>
          <w:lang w:val="en-US" w:eastAsia="zh-CN"/>
        </w:rPr>
      </w:pPr>
    </w:p>
    <w:p>
      <w:pPr>
        <w:widowControl w:val="0"/>
        <w:numPr>
          <w:ilvl w:val="0"/>
          <w:numId w:val="0"/>
        </w:numPr>
        <w:spacing w:line="584" w:lineRule="exact"/>
        <w:jc w:val="both"/>
        <w:rPr>
          <w:rFonts w:hint="eastAsia" w:ascii="Times New Roman" w:hAnsi="Times New Roman" w:eastAsia="黑体" w:cs="Times New Roman"/>
          <w:sz w:val="32"/>
          <w:szCs w:val="32"/>
        </w:rPr>
      </w:pP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1.办公用房资金绩效目标表</w:t>
      </w:r>
      <w:bookmarkEnd w:id="0"/>
    </w:p>
    <w:p>
      <w:pPr>
        <w:spacing w:line="584" w:lineRule="exact"/>
        <w:ind w:firstLine="640" w:firstLineChars="200"/>
        <w:rPr>
          <w:rFonts w:hint="eastAsia" w:ascii="仿宋_GB2312" w:eastAsia="仿宋_GB2312" w:cs="Times New Roman"/>
          <w:color w:val="FF0000"/>
          <w:sz w:val="32"/>
          <w:szCs w:val="3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bookmarkStart w:id="1" w:name="_Toc_4_4_0000000161"/>
            <w:r>
              <w:t>绩效目标</w:t>
            </w:r>
          </w:p>
        </w:tc>
        <w:tc>
          <w:tcPr>
            <w:tcW w:w="12756" w:type="dxa"/>
            <w:tcBorders>
              <w:bottom w:val="single" w:color="FFFFFF" w:sz="6" w:space="0"/>
            </w:tcBorders>
            <w:vAlign w:val="center"/>
          </w:tcPr>
          <w:p>
            <w:pPr>
              <w:pStyle w:val="17"/>
            </w:pPr>
            <w:r>
              <w:t>1.办公用房的租金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使用面积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办公用房使用面积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1425.55㎡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使用保障</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保障日常使用</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360天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使用时间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保障使用时间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360天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使用费用</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使用费用</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180万元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保持时间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保证使用时间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360天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职工满意度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2、设施维护费绩效目标表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1.目标内容1完成各项基础设施维护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自备井</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园林局权属供水设施</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维修质量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使用要求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维修时限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从维修到恢复期</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维修总支出</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一年内</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≤7.74万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bidi w:val="0"/>
              <w:ind w:firstLine="630" w:firstLineChars="300"/>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绿化管护需求</w:t>
            </w:r>
          </w:p>
        </w:tc>
        <w:tc>
          <w:tcPr>
            <w:tcW w:w="2466" w:type="dxa"/>
            <w:vAlign w:val="center"/>
          </w:tcPr>
          <w:p>
            <w:pPr>
              <w:pStyle w:val="17"/>
            </w:pPr>
            <w:r>
              <w:t>各项维修总费用</w:t>
            </w:r>
          </w:p>
          <w:p>
            <w:pPr>
              <w:pStyle w:val="17"/>
              <w:rPr>
                <w:rFonts w:ascii="方正书宋_GBK" w:hAnsi="方正书宋_GBK" w:eastAsia="方正书宋_GBK" w:cs="方正书宋_GBK"/>
                <w:kern w:val="0"/>
                <w:sz w:val="21"/>
                <w:szCs w:val="24"/>
                <w:lang w:val="en-US" w:eastAsia="uk-UA" w:bidi="ar-SA"/>
              </w:rPr>
            </w:pPr>
            <w:r>
              <w:t>保证各项设施正常运转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2466" w:type="dxa"/>
            <w:vMerge w:val="continue"/>
            <w:vAlign w:val="center"/>
          </w:tcPr>
          <w:p>
            <w:pPr>
              <w:pStyle w:val="19"/>
              <w:bidi w:val="0"/>
            </w:p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建成区绿地率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绿地率=绿地面积/建成区面积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19"/>
              <w:bidi w:val="0"/>
            </w:p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设施使用年限</w:t>
            </w:r>
          </w:p>
        </w:tc>
        <w:tc>
          <w:tcPr>
            <w:tcW w:w="2466" w:type="dxa"/>
            <w:vAlign w:val="center"/>
          </w:tcPr>
          <w:p>
            <w:pPr>
              <w:pStyle w:val="17"/>
            </w:pPr>
            <w:r>
              <w:t>设施维修后延长</w:t>
            </w:r>
          </w:p>
          <w:p>
            <w:pPr>
              <w:pStyle w:val="17"/>
              <w:rPr>
                <w:rFonts w:ascii="方正书宋_GBK" w:hAnsi="方正书宋_GBK" w:eastAsia="方正书宋_GBK" w:cs="方正书宋_GBK"/>
                <w:kern w:val="0"/>
                <w:sz w:val="21"/>
                <w:szCs w:val="24"/>
                <w:lang w:val="en-US" w:eastAsia="uk-UA" w:bidi="ar-SA"/>
              </w:rPr>
            </w:pPr>
            <w:r>
              <w:t>使用寿命</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由设施使用人进行评价</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工作实际</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w:t>
      </w:r>
      <w:r>
        <w:rPr>
          <w:rFonts w:ascii="方正仿宋_GBK" w:hAnsi="方正仿宋_GBK" w:eastAsia="方正仿宋_GBK" w:cs="方正仿宋_GBK"/>
          <w:color w:val="000000"/>
          <w:sz w:val="28"/>
        </w:rPr>
        <w:t>新城公园水费绩效目标表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1.目标内容：2023年按实际用水量支付三强水厂水费。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管护浇水面积</w:t>
            </w:r>
          </w:p>
        </w:tc>
        <w:tc>
          <w:tcPr>
            <w:tcW w:w="2466" w:type="dxa"/>
            <w:vAlign w:val="center"/>
          </w:tcPr>
          <w:p>
            <w:pPr>
              <w:pStyle w:val="17"/>
            </w:pPr>
            <w:r>
              <w:t>绿化管护</w:t>
            </w:r>
          </w:p>
          <w:p>
            <w:pPr>
              <w:pStyle w:val="17"/>
              <w:rPr>
                <w:rFonts w:ascii="方正书宋_GBK" w:hAnsi="方正书宋_GBK" w:eastAsia="方正书宋_GBK" w:cs="方正书宋_GBK"/>
                <w:kern w:val="0"/>
                <w:sz w:val="21"/>
                <w:szCs w:val="24"/>
                <w:lang w:val="en-US" w:eastAsia="uk-UA" w:bidi="ar-SA"/>
              </w:rPr>
            </w:pPr>
            <w:r>
              <w:t>浇水面积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113186.7㎡</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现场清点测量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用水保障率</w:t>
            </w:r>
          </w:p>
        </w:tc>
        <w:tc>
          <w:tcPr>
            <w:tcW w:w="2466" w:type="dxa"/>
            <w:vAlign w:val="center"/>
          </w:tcPr>
          <w:p>
            <w:pPr>
              <w:pStyle w:val="17"/>
            </w:pPr>
            <w:r>
              <w:t>保障公园</w:t>
            </w:r>
          </w:p>
          <w:p>
            <w:pPr>
              <w:pStyle w:val="17"/>
              <w:rPr>
                <w:rFonts w:ascii="方正书宋_GBK" w:hAnsi="方正书宋_GBK" w:eastAsia="方正书宋_GBK" w:cs="方正书宋_GBK"/>
                <w:kern w:val="0"/>
                <w:sz w:val="21"/>
                <w:szCs w:val="24"/>
                <w:lang w:val="en-US" w:eastAsia="uk-UA" w:bidi="ar-SA"/>
              </w:rPr>
            </w:pPr>
            <w:r>
              <w:t>日常用水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供水时间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供水时间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成本控制率</w:t>
            </w:r>
          </w:p>
        </w:tc>
        <w:tc>
          <w:tcPr>
            <w:tcW w:w="2466" w:type="dxa"/>
            <w:vAlign w:val="center"/>
          </w:tcPr>
          <w:p>
            <w:pPr>
              <w:pStyle w:val="17"/>
            </w:pPr>
            <w:r>
              <w:t>每年支付</w:t>
            </w:r>
          </w:p>
          <w:p>
            <w:pPr>
              <w:pStyle w:val="17"/>
              <w:rPr>
                <w:rFonts w:ascii="方正书宋_GBK" w:hAnsi="方正书宋_GBK" w:eastAsia="方正书宋_GBK" w:cs="方正书宋_GBK"/>
                <w:kern w:val="0"/>
                <w:sz w:val="21"/>
                <w:szCs w:val="24"/>
                <w:lang w:val="en-US" w:eastAsia="uk-UA" w:bidi="ar-SA"/>
              </w:rPr>
            </w:pPr>
            <w:r>
              <w:t>水费</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68万元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实际用水量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供水覆盖率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保障新城公园管护浇水面积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113186.7㎡</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现场清点测量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供水及时保持公园美观</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供水及时保持公园美观</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≥99%</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周边群众对绿化管护综合满意度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4、自行管护城区绿化成果管护费绩效目标表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1.目标内容1通过项目的开展实现自管区域内绿化面积不减少、树木保成活、景观效果不降低等战略，保障创建国家园林县城的实现。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38.1万平方米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实际管护面积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标准</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绿化管护标准</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≥3级</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【河北省城市园林绿化养护管理定额】及实际需求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12月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≤981.42万元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公共绿地面积与城区总人口的比值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≥0.32％</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建成区绿地率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绿地率＝绿地面积／建成区面积*100％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≥99％</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现场查验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群众满意度调查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走访群众</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 w:name="_Toc_4_4_0000000008"/>
      <w:r>
        <w:rPr>
          <w:rFonts w:ascii="方正仿宋_GBK" w:hAnsi="方正仿宋_GBK" w:eastAsia="方正仿宋_GBK" w:cs="方正仿宋_GBK"/>
          <w:color w:val="000000"/>
          <w:sz w:val="28"/>
        </w:rPr>
        <w:t>5.2020年城区整体绿化修缮、提升工程资金绩效目标表</w:t>
      </w:r>
      <w:bookmarkEnd w:id="2"/>
    </w:p>
    <w:p>
      <w:pPr>
        <w:spacing w:before="0" w:after="0"/>
        <w:ind w:firstLine="560"/>
        <w:jc w:val="left"/>
        <w:outlineLvl w:val="9"/>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1.目标内容1：过项目的开展实现2020年城区整体绿化修缮、提升工程对游园设施进行维修修缮、改造等战略，保障城区绿化的提升的实现。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≤12000平方米.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≥98％</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≤8月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≤15万元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中标价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≤0.1％</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绿化面积和建成区面积的比率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绿地率=绿化面积／建成区面积*100％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持续时间长</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走访群众</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9"/>
      <w:r>
        <w:rPr>
          <w:rFonts w:ascii="方正仿宋_GBK" w:hAnsi="方正仿宋_GBK" w:eastAsia="方正仿宋_GBK" w:cs="方正仿宋_GBK"/>
          <w:color w:val="000000"/>
          <w:sz w:val="28"/>
        </w:rPr>
        <w:t>6.2021年春节亮化工程资金绩效目标表</w:t>
      </w:r>
      <w:bookmarkEnd w:id="3"/>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1.目标内容1通过项目的开展实现2020年城区整体绿化修缮、提升工程对游园设施进行维修修缮、改造等战略，保障城区绿化的提升的实现。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绿化面积</w:t>
            </w:r>
          </w:p>
        </w:tc>
        <w:tc>
          <w:tcPr>
            <w:tcW w:w="2835" w:type="dxa"/>
            <w:vAlign w:val="center"/>
          </w:tcPr>
          <w:p>
            <w:pPr>
              <w:pStyle w:val="17"/>
            </w:pPr>
            <w:r>
              <w:t>本工程总面积</w:t>
            </w:r>
          </w:p>
        </w:tc>
        <w:tc>
          <w:tcPr>
            <w:tcW w:w="2551" w:type="dxa"/>
            <w:vAlign w:val="center"/>
          </w:tcPr>
          <w:p>
            <w:pPr>
              <w:pStyle w:val="17"/>
            </w:pPr>
            <w:r>
              <w:t xml:space="preserve">     ≤12000平方米.</w:t>
            </w:r>
          </w:p>
        </w:tc>
        <w:tc>
          <w:tcPr>
            <w:tcW w:w="2268" w:type="dxa"/>
            <w:vAlign w:val="center"/>
          </w:tcPr>
          <w:p>
            <w:pPr>
              <w:pStyle w:val="17"/>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合格</w:t>
            </w:r>
          </w:p>
        </w:tc>
        <w:tc>
          <w:tcPr>
            <w:tcW w:w="2835" w:type="dxa"/>
            <w:vAlign w:val="center"/>
          </w:tcPr>
          <w:p>
            <w:pPr>
              <w:pStyle w:val="17"/>
            </w:pPr>
            <w:r>
              <w:t>树木成活率</w:t>
            </w:r>
          </w:p>
        </w:tc>
        <w:tc>
          <w:tcPr>
            <w:tcW w:w="2551" w:type="dxa"/>
            <w:vAlign w:val="center"/>
          </w:tcPr>
          <w:p>
            <w:pPr>
              <w:pStyle w:val="17"/>
            </w:pPr>
            <w:r>
              <w:t xml:space="preserve">     ≥98％</w:t>
            </w:r>
          </w:p>
        </w:tc>
        <w:tc>
          <w:tcPr>
            <w:tcW w:w="2268"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竣工时间</w:t>
            </w:r>
          </w:p>
        </w:tc>
        <w:tc>
          <w:tcPr>
            <w:tcW w:w="2551" w:type="dxa"/>
            <w:vAlign w:val="center"/>
          </w:tcPr>
          <w:p>
            <w:pPr>
              <w:pStyle w:val="17"/>
            </w:pPr>
            <w:r>
              <w:t xml:space="preserve">    ≤8月</w:t>
            </w:r>
          </w:p>
        </w:tc>
        <w:tc>
          <w:tcPr>
            <w:tcW w:w="2268"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工程投入</w:t>
            </w:r>
          </w:p>
        </w:tc>
        <w:tc>
          <w:tcPr>
            <w:tcW w:w="2835" w:type="dxa"/>
            <w:vAlign w:val="center"/>
          </w:tcPr>
          <w:p>
            <w:pPr>
              <w:pStyle w:val="17"/>
            </w:pPr>
            <w:r>
              <w:t>项目工程投入</w:t>
            </w:r>
          </w:p>
        </w:tc>
        <w:tc>
          <w:tcPr>
            <w:tcW w:w="2551" w:type="dxa"/>
            <w:vAlign w:val="center"/>
          </w:tcPr>
          <w:p>
            <w:pPr>
              <w:pStyle w:val="17"/>
            </w:pPr>
            <w:r>
              <w:t xml:space="preserve">    ≤0.02万元/平米</w:t>
            </w:r>
          </w:p>
        </w:tc>
        <w:tc>
          <w:tcPr>
            <w:tcW w:w="2268" w:type="dxa"/>
            <w:vAlign w:val="center"/>
          </w:tcPr>
          <w:p>
            <w:pPr>
              <w:pStyle w:val="17"/>
            </w:pPr>
            <w:r>
              <w:t>中标价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人均公共绿地面积</w:t>
            </w:r>
          </w:p>
        </w:tc>
        <w:tc>
          <w:tcPr>
            <w:tcW w:w="2835" w:type="dxa"/>
            <w:vAlign w:val="center"/>
          </w:tcPr>
          <w:p>
            <w:pPr>
              <w:pStyle w:val="17"/>
            </w:pPr>
            <w:r>
              <w:t>公共绿地面积与总人口的比值</w:t>
            </w:r>
          </w:p>
        </w:tc>
        <w:tc>
          <w:tcPr>
            <w:tcW w:w="2551" w:type="dxa"/>
            <w:vAlign w:val="center"/>
          </w:tcPr>
          <w:p>
            <w:pPr>
              <w:pStyle w:val="17"/>
            </w:pPr>
            <w:r>
              <w:t xml:space="preserve">    ≤0.1％</w:t>
            </w:r>
          </w:p>
        </w:tc>
        <w:tc>
          <w:tcPr>
            <w:tcW w:w="2268" w:type="dxa"/>
            <w:vAlign w:val="center"/>
          </w:tcPr>
          <w:p>
            <w:pPr>
              <w:pStyle w:val="17"/>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绿地率</w:t>
            </w:r>
          </w:p>
        </w:tc>
        <w:tc>
          <w:tcPr>
            <w:tcW w:w="2835" w:type="dxa"/>
            <w:vAlign w:val="center"/>
          </w:tcPr>
          <w:p>
            <w:pPr>
              <w:pStyle w:val="17"/>
            </w:pPr>
            <w:r>
              <w:t>绿化面积和建成区面积的比率</w:t>
            </w:r>
          </w:p>
        </w:tc>
        <w:tc>
          <w:tcPr>
            <w:tcW w:w="2551" w:type="dxa"/>
            <w:vAlign w:val="center"/>
          </w:tcPr>
          <w:p>
            <w:pPr>
              <w:pStyle w:val="17"/>
            </w:pPr>
            <w:r>
              <w:t xml:space="preserve">     ≤0.05％</w:t>
            </w:r>
          </w:p>
        </w:tc>
        <w:tc>
          <w:tcPr>
            <w:tcW w:w="2268" w:type="dxa"/>
            <w:vAlign w:val="center"/>
          </w:tcPr>
          <w:p>
            <w:pPr>
              <w:pStyle w:val="17"/>
            </w:pPr>
            <w:r>
              <w:t>绿地率=绿化面积／建成区面积*100％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持续时间长</w:t>
            </w:r>
          </w:p>
        </w:tc>
        <w:tc>
          <w:tcPr>
            <w:tcW w:w="2835" w:type="dxa"/>
            <w:vAlign w:val="center"/>
          </w:tcPr>
          <w:p>
            <w:pPr>
              <w:pStyle w:val="17"/>
            </w:pPr>
            <w:r>
              <w:t>项目持续发挥作用的年限</w:t>
            </w:r>
          </w:p>
        </w:tc>
        <w:tc>
          <w:tcPr>
            <w:tcW w:w="2551" w:type="dxa"/>
            <w:vAlign w:val="center"/>
          </w:tcPr>
          <w:p>
            <w:pPr>
              <w:pStyle w:val="17"/>
            </w:pPr>
            <w:r>
              <w:t xml:space="preserve">     ≥10年</w:t>
            </w:r>
          </w:p>
        </w:tc>
        <w:tc>
          <w:tcPr>
            <w:tcW w:w="2268" w:type="dxa"/>
            <w:vAlign w:val="center"/>
          </w:tcPr>
          <w:p>
            <w:pPr>
              <w:pStyle w:val="1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群众对本项目的满意度</w:t>
            </w:r>
          </w:p>
        </w:tc>
        <w:tc>
          <w:tcPr>
            <w:tcW w:w="2551" w:type="dxa"/>
            <w:vAlign w:val="center"/>
          </w:tcPr>
          <w:p>
            <w:pPr>
              <w:pStyle w:val="17"/>
            </w:pPr>
            <w:r>
              <w:t xml:space="preserve">     ≥95％</w:t>
            </w:r>
          </w:p>
        </w:tc>
        <w:tc>
          <w:tcPr>
            <w:tcW w:w="2268" w:type="dxa"/>
            <w:vAlign w:val="center"/>
          </w:tcPr>
          <w:p>
            <w:pPr>
              <w:pStyle w:val="17"/>
            </w:pPr>
            <w:r>
              <w:t>走访群众</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4" w:name="_Toc_4_4_0000000010"/>
      <w:r>
        <w:rPr>
          <w:rFonts w:ascii="方正仿宋_GBK" w:hAnsi="方正仿宋_GBK" w:eastAsia="方正仿宋_GBK" w:cs="方正仿宋_GBK"/>
          <w:color w:val="000000"/>
          <w:sz w:val="28"/>
        </w:rPr>
        <w:t>7.2022年城区整体修缮、提升工程绩效目标表</w:t>
      </w:r>
      <w:bookmarkEnd w:id="4"/>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1.目标内容1：通过对2022年城区整体修缮、提升工程项目的开展，实现对城区部分地块游园、绿化带进行补植修缮等战略，保障提升城区绿化品质的实现。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城区绿化修缮面积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≤10900平方米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香河县城乡环境综合整治提升行动实施方案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对苗木的验收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35万元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≤0.09％</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本工程占比率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≤0.04％</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5" w:name="_Toc_4_4_0000000011"/>
      <w:r>
        <w:rPr>
          <w:rFonts w:ascii="方正仿宋_GBK" w:hAnsi="方正仿宋_GBK" w:eastAsia="方正仿宋_GBK" w:cs="方正仿宋_GBK"/>
          <w:color w:val="000000"/>
          <w:sz w:val="28"/>
        </w:rPr>
        <w:t>8.2022年春节亮化工程资金绩效目标表</w:t>
      </w:r>
      <w:bookmarkEnd w:id="5"/>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1.目标内容1：通过对2022年春节亮化工程项目的开展实现对新城公园、五一公园、亚太园等进行亮化等战略，保障营造节日气氛的实现。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节点数量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亮化地点、数量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≥4处</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合格率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对亮化的节点合格率进行巡查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≥98％</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工程完工进度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设计要求</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单节点投入控制数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营造春节氛围的时长</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营造春节氛围天数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项目持续发挥作用的天数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6" w:name="_Toc_4_4_0000000012"/>
      <w:r>
        <w:rPr>
          <w:rFonts w:ascii="方正仿宋_GBK" w:hAnsi="方正仿宋_GBK" w:eastAsia="方正仿宋_GBK" w:cs="方正仿宋_GBK"/>
          <w:color w:val="000000"/>
          <w:sz w:val="28"/>
        </w:rPr>
        <w:t>9.2022年高速口和公园节点亮化工程绩效目标表</w:t>
      </w:r>
      <w:bookmarkEnd w:id="6"/>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1.目标内容1：通过项目的开展实现高速口亮化，保障营造节日气氛的实现。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节点数量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高速口亮化的地点、数量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≥4个</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实际情况、往年惯例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巡查率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对亮化节点进行巡查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内控制度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≤14天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每处投入控制数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≤35.41万元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营造亮化氛围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营造氛围天数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7" w:name="_Toc_4_4_0000000013"/>
      <w:r>
        <w:rPr>
          <w:rFonts w:ascii="方正仿宋_GBK" w:hAnsi="方正仿宋_GBK" w:eastAsia="方正仿宋_GBK" w:cs="方正仿宋_GBK"/>
          <w:color w:val="000000"/>
          <w:sz w:val="28"/>
        </w:rPr>
        <w:t>10.2022年国庆摆花工程资金绩效目标表</w:t>
      </w:r>
      <w:bookmarkEnd w:id="7"/>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before="0" w:after="0"/>
              <w:jc w:val="left"/>
              <w:outlineLvl w:val="3"/>
            </w:pPr>
            <w:r>
              <w:t>1.目标内容1：通过对2022年国庆摆花工程项目的开展实现国庆期间打造绿、美、净、靓的整洁美观城市形象等战略，保障国庆期间整洁美观城市形象的实现。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绿植摆放节点</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摆放绿植总节点</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≥4处</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摆放到位率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在县委广场、新城公园进行绿植摆放</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及时率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及时率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每处工程投入控制数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国庆美化覆盖率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对城区重要节点进行摆花美化</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花卉存活时间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项目持续发挥作用的时限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8" w:name="_Toc_4_4_0000000014"/>
      <w:r>
        <w:rPr>
          <w:rFonts w:ascii="方正仿宋_GBK" w:hAnsi="方正仿宋_GBK" w:eastAsia="方正仿宋_GBK" w:cs="方正仿宋_GBK"/>
          <w:color w:val="000000"/>
          <w:sz w:val="28"/>
        </w:rPr>
        <w:t>11.2022年绿化管护工程上半年管护费（共计15个标段）绩效目标表</w:t>
      </w:r>
      <w:bookmarkEnd w:id="8"/>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1.目标内容1：通过绿化管护，确保两年管护区域内绿化面积不减少、树木保成活、景观效果不降低，有利于创建国家园林县城。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大香线四个标段、老通香线等地块、五一渠两侧等地块、通唐线路中绿化带等地块、淑阳工业园等地块、新城公园、亚太园、临时公园等地块、香五路及秀水街等地块、N3路及永盛北路等地块、淑阳工业园北区等地块、五一公园共15个标段</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719151.88㎡</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请示及呈办签、现场清点测量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绿化管护标准</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根据《河北省城市园林绿化养护管理定额》决定每个标段管护标准</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≥3级</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《河北省城市园林绿化养护管理定额》及实际需求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招标合同文件、最高限额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2022年上半年管护成本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≤11.55元/㎡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招标合同文件、最高限额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管护覆盖率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管护面积与总面积的比值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合同文件及验收单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管护绿化维持率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管护面积与总面积的比值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合同文件及验收单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树木寿命平均年限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树木寿命平均年限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周边群众对绿化管护综合满意度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9" w:name="_Toc_4_4_0000000015"/>
      <w:r>
        <w:rPr>
          <w:rFonts w:ascii="方正仿宋_GBK" w:hAnsi="方正仿宋_GBK" w:eastAsia="方正仿宋_GBK" w:cs="方正仿宋_GBK"/>
          <w:color w:val="000000"/>
          <w:sz w:val="28"/>
        </w:rPr>
        <w:t>12.2022年绿化管护工程下半年管护费（共计15个标段）绩效目标表</w:t>
      </w:r>
      <w:bookmarkEnd w:id="9"/>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1.目标内容1：通过绿化管护，确保两年管护区域内绿化面积不减少、树木保成活、景观效果不降低，有利于创建国家园林县城。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绿化管护标准</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大香线四个标段、老通香线等地块、五一渠两侧等地块、通唐线路中绿化带等地块、淑阳工业园等地块、新城公园、亚太园、临时公园等地块、香五路及秀水街等地块、N3路及永盛北路等地块、淑阳工业园北区等地块、五一公园共15个标段</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719151.88㎡</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请示及呈办签、现场清点测量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根据《河北省城市园林绿化养护管理定额》决定每个标段管护标准</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≥3级</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《河北省城市园林绿化养护管理定额》及实际需求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招标合同文件、最高限额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管护覆盖率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2022年下半年管护成本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≤11.64元/㎡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招标合同文件、最高限额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管护绿化维持率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管护面积与总面积的比值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合同文件及验收单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树木寿命平均年限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管护面积与总面积的比值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合同文件及验收单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树木寿命平均年限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树木寿命平均年限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周边群众对绿化管护综合满意度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10" w:name="_Toc_4_4_0000000016"/>
      <w:r>
        <w:rPr>
          <w:rFonts w:ascii="方正仿宋_GBK" w:hAnsi="方正仿宋_GBK" w:eastAsia="方正仿宋_GBK" w:cs="方正仿宋_GBK"/>
          <w:color w:val="000000"/>
          <w:sz w:val="28"/>
        </w:rPr>
        <w:t>13.2023年潮白滨水公园土地流转金绩效目标表</w:t>
      </w:r>
      <w:bookmarkEnd w:id="10"/>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1.目标内容1：通过对2023年潮白滨水公园土地流转金项目的开展实现潮白滨水公园建设等战略，保障潮白滨水公园建设的实现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土地流转总面积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854.66亩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合理率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对本项目进行落实</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流转具体时间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流转土地合同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每年流转金投入控制数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流转金总投入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258.99每年/万元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流转金额</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流转金与流转土地占比率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≤0.25％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流转金持续时间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项目持续发挥作用的时限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涉及群众对流转金的满意度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11" w:name="_Toc_4_4_0000000017"/>
      <w:r>
        <w:rPr>
          <w:rFonts w:ascii="方正仿宋_GBK" w:hAnsi="方正仿宋_GBK" w:eastAsia="方正仿宋_GBK" w:cs="方正仿宋_GBK"/>
          <w:color w:val="000000"/>
          <w:sz w:val="28"/>
        </w:rPr>
        <w:t>14.2023年春节亮化工程绩效目标表</w:t>
      </w:r>
      <w:bookmarkEnd w:id="11"/>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1.目标内容1：通过对2023年春节亮化工程项目的开展实现对新城公园、五一公园、亚太园等进行亮化等战略，保障营造节日气氛的实现。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施工地点数量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亮化地点、数量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≥4处</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工程合格率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对亮化工程检验的合格率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≥98％</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工程完工率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工程完成进度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单节点投入控制数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营造春节氛围的时长</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营造春节氛围天数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项目持续发挥作用的天数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12" w:name="_Toc_4_4_0000000018"/>
      <w:r>
        <w:rPr>
          <w:rFonts w:ascii="方正仿宋_GBK" w:hAnsi="方正仿宋_GBK" w:eastAsia="方正仿宋_GBK" w:cs="方正仿宋_GBK"/>
          <w:color w:val="000000"/>
          <w:sz w:val="28"/>
        </w:rPr>
        <w:t>15.2023年新招标绿化管护工程上半年管护费（共计15个标段）绩效目标表</w:t>
      </w:r>
      <w:bookmarkEnd w:id="12"/>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1.目标内容1：通过绿化管护，确保两年管护区域内绿化面积不减少、树木保成活、景观效果不降低，有利于创建国家园林县城。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大香线四个标段、老通香线等地块、五一渠两侧等地块、通唐线路中绿化带等地块、淑阳工业园等地块、新城公园、亚太园、临时公园等地块、香五路及秀水街等地块、N3路及永盛北路等地块、淑阳工业园北区等地块、五一公园共15个标段</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719151.88㎡</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请示及呈办签、现场清点测量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绿化管护标准</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根据《河北省城市园林绿化养护管理定额》决定每个标段管护标准</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≥3级</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《河北省城市园林绿化养护管理定额》及实际需求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绿化管护完成时间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招标合同文件、最高限额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2023年上半年管护成本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≤11.64元/㎡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招标合同文件、最高限额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管护覆盖率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管护面积与总面积的比值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合同文件及验收单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管护绿化维持率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管护面积与总面积的比值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合同文件及验收单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树木寿命平均年限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树木寿命平均年限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周边群众对绿化管护综合满意度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13" w:name="_Toc_4_4_0000000019"/>
      <w:r>
        <w:rPr>
          <w:rFonts w:ascii="方正仿宋_GBK" w:hAnsi="方正仿宋_GBK" w:eastAsia="方正仿宋_GBK" w:cs="方正仿宋_GBK"/>
          <w:color w:val="000000"/>
          <w:sz w:val="28"/>
        </w:rPr>
        <w:t>16.潮白滨水公园拆除费绩效目标表</w:t>
      </w:r>
      <w:bookmarkEnd w:id="13"/>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1.目标内容1：通过潮白滨水公园拆除项目的开展实现潮白滨水公园足球场和停车场及部分园路的拆除工作的实施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整改面积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土地卫片整改总面积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19000平米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整改完成率率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对本项目进行落实</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完成具体时间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≤14天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5万元/万平米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&lt;0.3％</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持续时间长</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项目持续发挥作用的时限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涉及群众对流转金的满意度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14" w:name="_Toc_4_4_0000000020"/>
      <w:r>
        <w:rPr>
          <w:rFonts w:ascii="方正仿宋_GBK" w:hAnsi="方正仿宋_GBK" w:eastAsia="方正仿宋_GBK" w:cs="方正仿宋_GBK"/>
          <w:color w:val="000000"/>
          <w:sz w:val="28"/>
        </w:rPr>
        <w:t>17.潮白滨水公园土地流转金（2022年流转金补充）绩效目标表</w:t>
      </w:r>
      <w:bookmarkEnd w:id="14"/>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1.目标内容1：通过潮白滨水公园土地流转金的开展实现潮白滨水公园土地流转工作的实施（最终的宏观效果）。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935.25亩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流转效率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现场实际情况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流转金</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流转金总额</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29.84万元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流转协议及有关法律规定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土地使用率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土地使用率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土地使用年限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土地使用年限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走访群众</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15" w:name="_Toc_4_4_0000000021"/>
      <w:r>
        <w:rPr>
          <w:rFonts w:ascii="方正仿宋_GBK" w:hAnsi="方正仿宋_GBK" w:eastAsia="方正仿宋_GBK" w:cs="方正仿宋_GBK"/>
          <w:color w:val="000000"/>
          <w:sz w:val="28"/>
        </w:rPr>
        <w:t>18.城区裸露地块绿化硬化工程资金绩效目标表</w:t>
      </w:r>
      <w:bookmarkEnd w:id="15"/>
    </w:p>
    <w:p>
      <w:pPr>
        <w:spacing w:before="0" w:after="0"/>
        <w:ind w:firstLine="56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1.目标内容1：通过项目的开展实现城区裸露地块破硬建绿、增加绿化面积等战略，保障推进园林城创建的实现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≤12900平方米.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≤0.11％</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绿化面积和建成区面积的比率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绿地率=绿化面积／建成区面积*100％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16" w:name="_Toc_4_4_0000000022"/>
      <w:r>
        <w:rPr>
          <w:rFonts w:ascii="方正仿宋_GBK" w:hAnsi="方正仿宋_GBK" w:eastAsia="方正仿宋_GBK" w:cs="方正仿宋_GBK"/>
          <w:color w:val="000000"/>
          <w:sz w:val="28"/>
        </w:rPr>
        <w:t>19.城区新增绿化管护绩效目标表</w:t>
      </w:r>
      <w:bookmarkEnd w:id="16"/>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1.目标内容1：通过对城区新增绿化管护项目的开展，实现对城区新增绿化管护等战略，保障管护效果的实现。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管护地点数量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管护地点、数量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≥3处</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管护合格率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对管护效果检验的合格率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≥98％</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项目管护率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工程完成进度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单项目投入控制数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管护时长</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管护天数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项目持续发挥作用的天数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17" w:name="_Toc_4_4_0000000023"/>
      <w:r>
        <w:rPr>
          <w:rFonts w:ascii="方正仿宋_GBK" w:hAnsi="方正仿宋_GBK" w:eastAsia="方正仿宋_GBK" w:cs="方正仿宋_GBK"/>
          <w:color w:val="000000"/>
          <w:sz w:val="28"/>
        </w:rPr>
        <w:t>20.池套小学游园工程资金绩效目标表</w:t>
      </w:r>
      <w:bookmarkEnd w:id="17"/>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1.目标内容1：通过对池套小学游园工程项目的开展实现城区东半部公园绿地服务半径覆盖率低等战略，保障创建省级森林城市的实现。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开展实现城区东半部公园绿地服务半径覆盖率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377平米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廊创森办字【2021】3号文件及《香河县创建森林城市工作推进方案》文件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对苗木的验收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≤0.02％</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本工程占比率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≤0.01％</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4"/>
      <w:r>
        <w:rPr>
          <w:rFonts w:ascii="方正仿宋_GBK" w:hAnsi="方正仿宋_GBK" w:eastAsia="方正仿宋_GBK" w:cs="方正仿宋_GBK"/>
          <w:color w:val="000000"/>
          <w:sz w:val="28"/>
        </w:rPr>
        <w:t>21.大香线绿化带环保改造资金绩效目标表</w:t>
      </w:r>
      <w:bookmarkEnd w:id="18"/>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1.目标内容1：通过项目的开展实现大香线绿化带环保改造12000米等战略（填项目所要达成的最终目标，偏战略的、宏观的），保障推进园林城创建的实现.。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长度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改造绿化带长度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≤12000米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现场测量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改造合格率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≤0.03万元/平米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改造绿化带长度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改造绿化带总长度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≤12000米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5"/>
      <w:r>
        <w:rPr>
          <w:rFonts w:ascii="方正仿宋_GBK" w:hAnsi="方正仿宋_GBK" w:eastAsia="方正仿宋_GBK" w:cs="方正仿宋_GBK"/>
          <w:color w:val="000000"/>
          <w:sz w:val="28"/>
        </w:rPr>
        <w:t>22.高速口亮化工程资金绩效目标表</w:t>
      </w:r>
      <w:bookmarkEnd w:id="19"/>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1.目标内容1：通过项目的开展实现高速口亮化，保障营造节日气氛的实现。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节点数量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高速口亮化的地点、数量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≥4个</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实际情况、往年惯例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巡查率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对亮化节点进行巡查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内控制度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≤14天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每处投入控制数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营造亮化氛围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营造氛围天数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0" w:name="_Toc_4_4_0000000026"/>
      <w:r>
        <w:rPr>
          <w:rFonts w:ascii="方正仿宋_GBK" w:hAnsi="方正仿宋_GBK" w:eastAsia="方正仿宋_GBK" w:cs="方正仿宋_GBK"/>
          <w:color w:val="000000"/>
          <w:sz w:val="28"/>
        </w:rPr>
        <w:t>23.高速口绿地改造提升工程资金绩效目标表</w:t>
      </w:r>
      <w:bookmarkEnd w:id="20"/>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1.目标内容1：通过高速口绿地改造提升工程项目的开展实现城区增绿建园的实施（最终的宏观效果）。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现场测量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≤99％</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项目工程工程款投入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绿化品质</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≤0.4％</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持续时间长</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走访群众</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1" w:name="_Toc_4_4_0000000027"/>
      <w:r>
        <w:rPr>
          <w:rFonts w:ascii="方正仿宋_GBK" w:hAnsi="方正仿宋_GBK" w:eastAsia="方正仿宋_GBK" w:cs="方正仿宋_GBK"/>
          <w:color w:val="000000"/>
          <w:sz w:val="28"/>
        </w:rPr>
        <w:t>24.后套村委会西游园工程资金绩效目标表</w:t>
      </w:r>
      <w:bookmarkEnd w:id="21"/>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1.目标内容1：通过后套村委会西游园工程项目的开展实现城区东半部公园绿地服务半径覆盖率低等战略，保障创建省级森林城市的实现。.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开展实现城区东半部公园绿地服务半径覆盖</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3030平米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廊创森办字【2021】3号文件及《香河县创建森林城市工作推进方案》文件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对苗木的验收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≥0.01％</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本工程占比率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≥0.12％</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8"/>
      <w:r>
        <w:rPr>
          <w:rFonts w:ascii="方正仿宋_GBK" w:hAnsi="方正仿宋_GBK" w:eastAsia="方正仿宋_GBK" w:cs="方正仿宋_GBK"/>
          <w:color w:val="000000"/>
          <w:sz w:val="28"/>
        </w:rPr>
        <w:t>25.孔雀城东游园工程资金绩效目标表</w:t>
      </w:r>
      <w:bookmarkEnd w:id="22"/>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1.目标内容1：通过建设孔雀城东游园项目的开展实现城乡环境政治的提升的实施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4200平米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0.02万元/平米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≤1.2％</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3" w:name="_Toc_4_4_0000000029"/>
      <w:r>
        <w:rPr>
          <w:rFonts w:ascii="方正仿宋_GBK" w:hAnsi="方正仿宋_GBK" w:eastAsia="方正仿宋_GBK" w:cs="方正仿宋_GBK"/>
          <w:color w:val="000000"/>
          <w:sz w:val="28"/>
        </w:rPr>
        <w:t>26.郎庄村委会游园工程资金绩效目标表</w:t>
      </w:r>
      <w:bookmarkEnd w:id="23"/>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1.目标内容1：通过对郎庄村委会游园工程项目的开展实现城区东半部公园绿地服务半径覆盖率低等战略，保障创建省级森林城市的实现。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开展实现城区东半部公园绿地服务半径覆盖</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146平米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廊创森办字【2021】3号文件及《香河县创建森林城市工作推进方案》文件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对苗木的验收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资金投入数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9.86万元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≤0.01％</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本工程占比率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4" w:name="_Toc_4_4_0000000030"/>
      <w:r>
        <w:rPr>
          <w:rFonts w:ascii="方正仿宋_GBK" w:hAnsi="方正仿宋_GBK" w:eastAsia="方正仿宋_GBK" w:cs="方正仿宋_GBK"/>
          <w:color w:val="000000"/>
          <w:sz w:val="28"/>
        </w:rPr>
        <w:t>27.老沙发材料市场小微绿地工程资金绩效目标表</w:t>
      </w:r>
      <w:bookmarkEnd w:id="24"/>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1.目标内容1：通过建设老沙发材料市场小微绿地项目的开展实现城乡环境政治的提升的实施。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940平米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110％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≤0.4％</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5" w:name="_Toc_4_4_0000000031"/>
      <w:r>
        <w:rPr>
          <w:rFonts w:ascii="方正仿宋_GBK" w:hAnsi="方正仿宋_GBK" w:eastAsia="方正仿宋_GBK" w:cs="方正仿宋_GBK"/>
          <w:color w:val="000000"/>
          <w:sz w:val="28"/>
        </w:rPr>
        <w:t>28.平香线南延二期绿化工程资金绩效目标表</w:t>
      </w:r>
      <w:bookmarkEnd w:id="25"/>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1.目标内容1：通过对平香线南延二期绿化工程项目的开展实现对用于增加城市绿量、提升城区绿化效果等战略，保障园林城创建的实现。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≤32000平方米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《河北省城市园林绿化高质量发展专项实施计划》、《城市绿化规划建设指标的规定》文件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≤0.3％</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6" w:name="_Toc_4_4_0000000032"/>
      <w:r>
        <w:rPr>
          <w:rFonts w:ascii="方正仿宋_GBK" w:hAnsi="方正仿宋_GBK" w:eastAsia="方正仿宋_GBK" w:cs="方正仿宋_GBK"/>
          <w:color w:val="000000"/>
          <w:sz w:val="28"/>
        </w:rPr>
        <w:t>29.淑阳工业园北区绿化改造提升工程资金绩效目标表</w:t>
      </w:r>
      <w:bookmarkEnd w:id="26"/>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1.目标内容1：通过项目的开展实现在淑阳工业园北区三条道路两侧新铺草坪12659.02㎡，增植乔灌木537株等战略，保障提升园区整体绿化品质的实现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≤53000平方米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中标价</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0.01万元/平米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≤0.4％</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绿化面积和建成区面积的比率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≤0.2％</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绿地率﹦绿化面积／建成区面积*100％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7" w:name="_Toc_4_4_0000000033"/>
      <w:r>
        <w:rPr>
          <w:rFonts w:ascii="方正仿宋_GBK" w:hAnsi="方正仿宋_GBK" w:eastAsia="方正仿宋_GBK" w:cs="方正仿宋_GBK"/>
          <w:color w:val="000000"/>
          <w:sz w:val="28"/>
        </w:rPr>
        <w:t>30.淑阳镇政府东游园工程资金绩效目标表</w:t>
      </w:r>
      <w:bookmarkEnd w:id="27"/>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1.目标内容1：淑阳镇政府东游园建设增加城市绿量、提升城区绿化效果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500平米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0.08万元/平米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≤0.2％</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8" w:name="_Toc_4_4_0000000034"/>
      <w:r>
        <w:rPr>
          <w:rFonts w:ascii="方正仿宋_GBK" w:hAnsi="方正仿宋_GBK" w:eastAsia="方正仿宋_GBK" w:cs="方正仿宋_GBK"/>
          <w:color w:val="000000"/>
          <w:sz w:val="28"/>
        </w:rPr>
        <w:t>31.通唐线路中绿化带恢复工程资金绩效目标表</w:t>
      </w:r>
      <w:bookmarkEnd w:id="28"/>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1.目标内容1：通过对通唐线路中绿化带恢复工程项目的开展实现，对用于增加城市绿量、提升城区绿化效果等战略，保障园林城创建的实现。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恢复绿化面积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恢复绿化总面积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1530平米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≤0.14％</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29" w:name="_Toc_4_4_0000000035"/>
      <w:r>
        <w:rPr>
          <w:rFonts w:ascii="方正仿宋_GBK" w:hAnsi="方正仿宋_GBK" w:eastAsia="方正仿宋_GBK" w:cs="方正仿宋_GBK"/>
          <w:color w:val="000000"/>
          <w:sz w:val="28"/>
        </w:rPr>
        <w:t>32.通武线苗木移植和平香线绿化带工程资金绩效目标表</w:t>
      </w:r>
      <w:bookmarkEnd w:id="29"/>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1.目标内容1：通过项目的开展实现北运河旅游通航的实施（最终的宏观效果）。。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52000平米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现场测量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项目工程工程款投入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实现北运河旅游通航的目标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保证北运河旅游通航实施</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30" w:name="_Toc_4_4_0000000036"/>
      <w:r>
        <w:rPr>
          <w:rFonts w:ascii="方正仿宋_GBK" w:hAnsi="方正仿宋_GBK" w:eastAsia="方正仿宋_GBK" w:cs="方正仿宋_GBK"/>
          <w:color w:val="000000"/>
          <w:sz w:val="28"/>
        </w:rPr>
        <w:t>33.香城郦舍南游园工程资金绩效目标表</w:t>
      </w:r>
      <w:bookmarkEnd w:id="30"/>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1.目标内容1：通过建设香城郦舍南游园项目的开展实现城乡环境政治的提升的实施。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680平米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0.03万元/平米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人均公共绿地率面积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≤0.3％</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31" w:name="_Toc_4_4_0000000037"/>
      <w:r>
        <w:rPr>
          <w:rFonts w:ascii="方正仿宋_GBK" w:hAnsi="方正仿宋_GBK" w:eastAsia="方正仿宋_GBK" w:cs="方正仿宋_GBK"/>
          <w:color w:val="000000"/>
          <w:sz w:val="28"/>
        </w:rPr>
        <w:t>34.新华大街新建绿化带工程资金绩效目标表</w:t>
      </w:r>
      <w:bookmarkEnd w:id="31"/>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1.目标内容1：通过项目的开展实现新华大街两侧破硬建绿、增加绿化面积等战略，保障推进园林城创建的实现。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≤7200平方米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0.12万元/平米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≤0.06％</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绿化面积和建成区面积的比率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≤0.03％</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绿地率=绿化面积／建成区面积*100％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32" w:name="_Toc_4_4_0000000038"/>
      <w:r>
        <w:rPr>
          <w:rFonts w:ascii="方正仿宋_GBK" w:hAnsi="方正仿宋_GBK" w:eastAsia="方正仿宋_GBK" w:cs="方正仿宋_GBK"/>
          <w:color w:val="000000"/>
          <w:sz w:val="28"/>
        </w:rPr>
        <w:t>35.新开大街新建绿化带工程资金绩效目标表</w:t>
      </w:r>
      <w:bookmarkEnd w:id="32"/>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1.目标内容1：通过项目的开展实现新开大街两侧破硬建绿、增加绿化面积等战略，保障推进园林城创建的实现。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≤6300平方米.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绿化面积和建成区面积的比率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≤0.03％</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绿地率=绿化面积／建成区面积*100％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33" w:name="_Toc_4_4_0000000039"/>
      <w:r>
        <w:rPr>
          <w:rFonts w:ascii="方正仿宋_GBK" w:hAnsi="方正仿宋_GBK" w:eastAsia="方正仿宋_GBK" w:cs="方正仿宋_GBK"/>
          <w:color w:val="000000"/>
          <w:sz w:val="28"/>
        </w:rPr>
        <w:t>36.新开街部分路中绿化带工程资金绩效目标表</w:t>
      </w:r>
      <w:bookmarkEnd w:id="33"/>
    </w:p>
    <w:p>
      <w:pPr>
        <w:spacing w:before="0" w:after="0"/>
        <w:ind w:firstLine="560"/>
        <w:jc w:val="left"/>
        <w:outlineLvl w:val="3"/>
      </w:pP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1.目标内容1：通过建设新开街部分路中绿化带项目的开展实现城乡环境整治的提升的实施（最终的宏观效果）。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670平米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0.07万元/平米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≤0.3％</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34" w:name="_Toc_4_4_0000000040"/>
      <w:r>
        <w:rPr>
          <w:rFonts w:ascii="方正仿宋_GBK" w:hAnsi="方正仿宋_GBK" w:eastAsia="方正仿宋_GBK" w:cs="方正仿宋_GBK"/>
          <w:color w:val="000000"/>
          <w:sz w:val="28"/>
        </w:rPr>
        <w:t>37.新开街西段路中绿化带工程资金（永盛路-大来五金）绩效目标表</w:t>
      </w:r>
      <w:bookmarkEnd w:id="34"/>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1.目标内容1：通过对新开街西段路中绿化带工程（永盛路-大来五金）项目的开展实现对用于增加城市绿量、提升城区绿化效果等战略，保障园林城创建的实现。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900平米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≤0.01％</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41"/>
      <w:r>
        <w:rPr>
          <w:rFonts w:ascii="方正仿宋_GBK" w:hAnsi="方正仿宋_GBK" w:eastAsia="方正仿宋_GBK" w:cs="方正仿宋_GBK"/>
          <w:color w:val="000000"/>
          <w:sz w:val="28"/>
        </w:rPr>
        <w:t>38.新开街与老夏安线交口绿化工程资金绩效目标表</w:t>
      </w:r>
      <w:bookmarkEnd w:id="35"/>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1.目标内容1：通过对新开街与老夏安线交口绿化工程项目的开展实现对用于增加城市绿量、提升城区绿化效果等战略，保障园林城创建的实现。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7000平米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≤0.01％</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36" w:name="_Toc_4_4_0000000042"/>
      <w:r>
        <w:rPr>
          <w:rFonts w:ascii="方正仿宋_GBK" w:hAnsi="方正仿宋_GBK" w:eastAsia="方正仿宋_GBK" w:cs="方正仿宋_GBK"/>
          <w:color w:val="000000"/>
          <w:sz w:val="28"/>
        </w:rPr>
        <w:t>39.兴达房产南游园工程资金绩效目标表</w:t>
      </w:r>
      <w:bookmarkEnd w:id="36"/>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1.目标内容：完成淑阳镇政府东游园工程建设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1840平米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0.01万元/平米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≤0.7％</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pPr>
            <w:r>
              <w:t>问卷调查</w:t>
            </w:r>
          </w:p>
          <w:p>
            <w:pPr>
              <w:pStyle w:val="17"/>
              <w:rPr>
                <w:rFonts w:ascii="方正书宋_GBK" w:hAnsi="方正书宋_GBK" w:eastAsia="方正书宋_GBK" w:cs="方正书宋_GBK"/>
                <w:kern w:val="0"/>
                <w:sz w:val="21"/>
                <w:szCs w:val="24"/>
                <w:lang w:val="en-US" w:eastAsia="uk-UA" w:bidi="ar-SA"/>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3"/>
      <w:r>
        <w:rPr>
          <w:rFonts w:ascii="方正仿宋_GBK" w:hAnsi="方正仿宋_GBK" w:eastAsia="方正仿宋_GBK" w:cs="方正仿宋_GBK"/>
          <w:color w:val="000000"/>
          <w:sz w:val="28"/>
        </w:rPr>
        <w:t>40.许台村景观改造提升工程绩效目标表</w:t>
      </w:r>
      <w:bookmarkEnd w:id="37"/>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许台村委会游园工程项目的开展实现城区东半部公园绿地服务半径覆盖率低等战略，保障创建省级森林城市的实现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开展实现城区东半部公园绿地服务半径覆盖率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2105平米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廊创森办字【2021】3号文件及《香河县创建森林城市工作推进方案》文件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对苗木的验收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0.01每平米/万元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≤0.02％</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本工程占比率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≤0.01％</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38" w:name="_Toc_4_4_0000000044"/>
      <w:r>
        <w:rPr>
          <w:rFonts w:ascii="方正仿宋_GBK" w:hAnsi="方正仿宋_GBK" w:eastAsia="方正仿宋_GBK" w:cs="方正仿宋_GBK"/>
          <w:color w:val="000000"/>
          <w:sz w:val="28"/>
        </w:rPr>
        <w:t>41.一中北门游园工程资金绩效目标表</w:t>
      </w:r>
      <w:bookmarkEnd w:id="38"/>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1.目标内容1：通过建设一中北门游园项目的开展实现城乡环境政治的提升的实施（最终的宏观效果）。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310平米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0.08万元/平米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≤0.1％</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39" w:name="_Toc_4_4_0000000045"/>
      <w:r>
        <w:rPr>
          <w:rFonts w:ascii="方正仿宋_GBK" w:hAnsi="方正仿宋_GBK" w:eastAsia="方正仿宋_GBK" w:cs="方正仿宋_GBK"/>
          <w:color w:val="000000"/>
          <w:sz w:val="28"/>
        </w:rPr>
        <w:t>42.迎宾路两侧行道树栽植工程资金（府前街-新华大街）绩效目标表</w:t>
      </w:r>
      <w:bookmarkEnd w:id="39"/>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1.目标内容1：通过对迎宾路两侧行道树栽植工程项目的开展实现对用于增加城市绿量、提升城区绿化效果等战略，保障园林城创建的实现。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行道树数量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行道树总数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26株</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≤0.99％</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&lt;6.87万元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施工、设计、监理合同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人均覆盖面积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人均覆盖面积面积与总人口的比值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持续时间长</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40" w:name="_Toc_4_4_0000000046"/>
      <w:r>
        <w:rPr>
          <w:rFonts w:ascii="方正仿宋_GBK" w:hAnsi="方正仿宋_GBK" w:eastAsia="方正仿宋_GBK" w:cs="方正仿宋_GBK"/>
          <w:color w:val="000000"/>
          <w:sz w:val="28"/>
        </w:rPr>
        <w:t>43.永泰路等地段绿化带工程资金绩效目标表</w:t>
      </w:r>
      <w:bookmarkEnd w:id="40"/>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1.目标内容1：通过项目的开展实现永泰路等地段破硬建绿、增加绿化面积等战略，保障推进园林城创建的实现。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≤6300平方米.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≤7月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≤0.06％</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生态效益指标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绿化面积和建成区面积的比率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≤0.03％</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绿地率=绿化面积／建成区面积*100％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树木平均寿命年限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41" w:name="_Toc_4_4_0000000047"/>
      <w:r>
        <w:rPr>
          <w:rFonts w:ascii="方正仿宋_GBK" w:hAnsi="方正仿宋_GBK" w:eastAsia="方正仿宋_GBK" w:cs="方正仿宋_GBK"/>
          <w:color w:val="000000"/>
          <w:sz w:val="28"/>
        </w:rPr>
        <w:t>44.园林绿化工程车辆资金绩效目标表</w:t>
      </w:r>
      <w:bookmarkEnd w:id="41"/>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1.目标内容1：通过购车，解决目前管护用车的难题。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购车数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采购车辆数量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实际需求政策要求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验收合格率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车辆质量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采购时限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从招标采购发公告到采购完成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采购程序所用时间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采购成本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车辆采购成本</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询价结果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管护苗木面积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管护苗木面积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≥38万平方米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实际测评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持续时间长</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车辆使用年限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操作人员对车辆的综合评价</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≥98%</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走访操作人员</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42" w:name="_Toc_4_4_0000000048"/>
      <w:r>
        <w:rPr>
          <w:rFonts w:ascii="方正仿宋_GBK" w:hAnsi="方正仿宋_GBK" w:eastAsia="方正仿宋_GBK" w:cs="方正仿宋_GBK"/>
          <w:color w:val="000000"/>
          <w:sz w:val="28"/>
        </w:rPr>
        <w:t>45.运河船闸花海绿化工程资金绩效目标表</w:t>
      </w:r>
      <w:bookmarkEnd w:id="42"/>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1.目标内容1：通过对运河船闸花海绿化工程项目的开展实现开展本项目主要打造绿、美、净、靓的整洁美观的形象。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草花栽植面积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草花栽植总面积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≥2951.66平米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在运河东岸进行草花栽植</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项目施工完成时间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20天</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每处工程投入控制数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在运河东岸进行草花栽植</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花卉存活时间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项目持续发挥作用的时限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城区群众对绿化的满意度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方正仿宋_GBK" w:hAnsi="方正仿宋_GBK" w:eastAsia="方正仿宋_GBK" w:cs="方正仿宋_GBK"/>
          <w:b/>
          <w:color w:val="000000"/>
          <w:sz w:val="28"/>
        </w:rPr>
      </w:pPr>
      <w:bookmarkStart w:id="43" w:name="_Toc_4_4_0000000049"/>
      <w:r>
        <w:rPr>
          <w:rFonts w:ascii="方正仿宋_GBK" w:hAnsi="方正仿宋_GBK" w:eastAsia="方正仿宋_GBK" w:cs="方正仿宋_GBK"/>
          <w:color w:val="000000"/>
          <w:sz w:val="28"/>
        </w:rPr>
        <w:t>46.中心城区绿地系统专项规划编制费绩效目标表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1.目标内容1：通过项目的开展实现在一定时期内2023年潮白滨水公园土地流转金项目的开展实现潮白滨水公园建设等战略，保障潮白滨水公园建设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规划数量</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编制香河县中心城区绿地系统专项规划</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1项</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规划成果合格率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符合政策并通过相关部门审核</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编制规划费用</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控制总支出</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城市规划设计计费指导意见（修订）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使用效率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规划成果得到长期广泛应用</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持续时间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15年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使用人满意度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本部门对绿地系统规划使用的满意度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预期满意度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44" w:name="_Toc_4_4_0000000050"/>
      <w:r>
        <w:rPr>
          <w:rFonts w:ascii="方正仿宋_GBK" w:hAnsi="方正仿宋_GBK" w:eastAsia="方正仿宋_GBK" w:cs="方正仿宋_GBK"/>
          <w:color w:val="000000"/>
          <w:sz w:val="28"/>
        </w:rPr>
        <w:t>47.矬口方沟二期绿化工程资金 绩效目标表</w:t>
      </w:r>
      <w:bookmarkEnd w:id="44"/>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1.目标内容1：通过对矬口方沟二期绿化工程项目的开展实现对用于增加城市绿量、提升城区绿化效果等战略，保障园林城创建的实现。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13000平米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≤6个月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实施合同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单平米工程投入控制数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工程总投入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≤50万元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人均公共绿地面积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公共绿地面积与总人口的比值</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≤0.12％</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苗木平均寿命年限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城区群众的满意度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3"/>
      </w:pPr>
      <w:bookmarkStart w:id="45" w:name="_Toc_4_4_0000000051"/>
      <w:r>
        <w:rPr>
          <w:rFonts w:ascii="方正仿宋_GBK" w:hAnsi="方正仿宋_GBK" w:eastAsia="方正仿宋_GBK" w:cs="方正仿宋_GBK"/>
          <w:color w:val="000000"/>
          <w:sz w:val="28"/>
        </w:rPr>
        <w:t>48.矬口方沟绿化带工程及工程设计费绩效目标表</w:t>
      </w:r>
      <w:bookmarkEnd w:id="45"/>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7"/>
            </w:pPr>
            <w:r>
              <w:t>1.目标内容1：通过项目的开展实现在矬口方沟上方及两侧进行增加绿化面积等战略，保障提升城区绿化效果的实现。及通过项目的开展实现锉口方沟设计费等战略，保障锉口方沟绿化工程的实施(最终的宏观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数量指标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本工程总面积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≤13000平方米.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工程图纸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质量指标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苗木成活率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对工程进行验收</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100％</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时效指标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完成时间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竣工时间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≤6月</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成本指标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每平工程投入控制数</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项目工程投入</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99万元</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项目预算表、设计、监理合同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社会效益指标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新增绿化面积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新增绿化面积</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≤0.12平方米.</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可持续影响指标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苗木寿命平均年限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项目持续发挥作用的年限</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≥10年</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服务对象满意度指标</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群众对本项目的满意度</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≥95％</w:t>
            </w:r>
          </w:p>
        </w:tc>
        <w:tc>
          <w:tcPr>
            <w:tcW w:w="2466" w:type="dxa"/>
            <w:vAlign w:val="center"/>
          </w:tcPr>
          <w:p>
            <w:pPr>
              <w:pStyle w:val="17"/>
              <w:rPr>
                <w:rFonts w:ascii="方正书宋_GBK" w:hAnsi="方正书宋_GBK" w:eastAsia="方正书宋_GBK" w:cs="方正书宋_GBK"/>
                <w:kern w:val="0"/>
                <w:sz w:val="21"/>
                <w:szCs w:val="24"/>
                <w:lang w:val="en-US" w:eastAsia="uk-UA" w:bidi="ar-SA"/>
              </w:rPr>
            </w:pPr>
            <w:r>
              <w:t>调查问卷</w:t>
            </w:r>
          </w:p>
        </w:tc>
      </w:tr>
    </w:tbl>
    <w:p>
      <w:pPr>
        <w:sectPr>
          <w:pgSz w:w="16840" w:h="11900" w:orient="landscape"/>
          <w:pgMar w:top="1361" w:right="1020" w:bottom="1134" w:left="1020" w:header="720" w:footer="720" w:gutter="0"/>
          <w:cols w:space="720" w:num="1"/>
        </w:sectPr>
      </w:pPr>
    </w:p>
    <w:p>
      <w:pPr>
        <w:ind w:firstLine="1540" w:firstLineChars="550"/>
        <w:outlineLvl w:val="3"/>
        <w:rPr>
          <w:rFonts w:hint="eastAsia" w:ascii="方正仿宋_GBK" w:hAnsi="方正仿宋_GBK" w:eastAsia="方正仿宋_GBK" w:cs="方正仿宋_GBK"/>
          <w:color w:val="000000"/>
          <w:sz w:val="28"/>
        </w:rPr>
      </w:pPr>
    </w:p>
    <w:p>
      <w:pPr>
        <w:ind w:firstLine="1540" w:firstLineChars="550"/>
        <w:outlineLvl w:val="3"/>
        <w:rPr>
          <w:rFonts w:hint="eastAsia" w:ascii="方正仿宋_GBK" w:hAnsi="方正仿宋_GBK" w:eastAsia="方正仿宋_GBK" w:cs="方正仿宋_GBK"/>
          <w:color w:val="000000"/>
          <w:sz w:val="28"/>
        </w:rPr>
      </w:pPr>
    </w:p>
    <w:bookmarkEnd w:id="1"/>
    <w:p>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6" w:name="_Toc471398468"/>
      <w:r>
        <w:rPr>
          <w:rFonts w:ascii="Times New Roman" w:hAnsi="Times New Roman" w:eastAsia="仿宋_GB2312" w:cs="Times New Roman"/>
          <w:sz w:val="32"/>
          <w:szCs w:val="24"/>
        </w:rPr>
        <w:t>202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年，我单位安排政府采购预算</w:t>
      </w:r>
      <w:r>
        <w:rPr>
          <w:rFonts w:hint="eastAsia" w:ascii="Times New Roman" w:hAnsi="Times New Roman" w:eastAsia="仿宋_GB2312" w:cs="Times New Roman"/>
          <w:sz w:val="32"/>
          <w:szCs w:val="24"/>
          <w:lang w:val="en-US" w:eastAsia="zh-CN"/>
        </w:rPr>
        <w:t>150</w:t>
      </w:r>
      <w:r>
        <w:rPr>
          <w:rFonts w:ascii="Times New Roman" w:hAnsi="Times New Roman" w:eastAsia="仿宋_GB2312" w:cs="Times New Roman"/>
          <w:sz w:val="32"/>
          <w:szCs w:val="24"/>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9"/>
              <w:rPr>
                <w:rFonts w:hint="eastAsia" w:eastAsia="方正小标宋_GBK"/>
                <w:lang w:val="en-US" w:eastAsia="zh-CN"/>
              </w:rPr>
            </w:pPr>
            <w:r>
              <w:t>33</w:t>
            </w:r>
            <w:r>
              <w:rPr>
                <w:rFonts w:hint="eastAsia"/>
                <w:lang w:val="en-US" w:eastAsia="zh-CN"/>
              </w:rPr>
              <w:t>0001</w:t>
            </w:r>
            <w:r>
              <w:t>香河县园林绿化</w:t>
            </w:r>
            <w:r>
              <w:rPr>
                <w:rFonts w:hint="eastAsia"/>
                <w:lang w:val="en-US" w:eastAsia="zh-CN"/>
              </w:rPr>
              <w:t>中心</w:t>
            </w:r>
          </w:p>
        </w:tc>
        <w:tc>
          <w:tcPr>
            <w:tcW w:w="8316" w:type="dxa"/>
            <w:gridSpan w:val="9"/>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6"/>
            </w:pPr>
            <w:r>
              <w:t>政府采购项目来源</w:t>
            </w:r>
          </w:p>
        </w:tc>
        <w:tc>
          <w:tcPr>
            <w:tcW w:w="924" w:type="dxa"/>
            <w:vMerge w:val="restart"/>
            <w:vAlign w:val="center"/>
          </w:tcPr>
          <w:p>
            <w:pPr>
              <w:pStyle w:val="16"/>
            </w:pPr>
            <w:r>
              <w:t>采购物品名称</w:t>
            </w:r>
          </w:p>
        </w:tc>
        <w:tc>
          <w:tcPr>
            <w:tcW w:w="924" w:type="dxa"/>
            <w:vMerge w:val="restart"/>
            <w:vAlign w:val="center"/>
          </w:tcPr>
          <w:p>
            <w:pPr>
              <w:pStyle w:val="16"/>
            </w:pPr>
            <w:r>
              <w:t>政府采购目录序号</w:t>
            </w:r>
          </w:p>
        </w:tc>
        <w:tc>
          <w:tcPr>
            <w:tcW w:w="924" w:type="dxa"/>
            <w:vMerge w:val="restart"/>
            <w:vAlign w:val="center"/>
          </w:tcPr>
          <w:p>
            <w:pPr>
              <w:pStyle w:val="16"/>
            </w:pPr>
            <w:r>
              <w:t>计量  单位</w:t>
            </w:r>
          </w:p>
        </w:tc>
        <w:tc>
          <w:tcPr>
            <w:tcW w:w="924" w:type="dxa"/>
            <w:vMerge w:val="restart"/>
            <w:vAlign w:val="center"/>
          </w:tcPr>
          <w:p>
            <w:pPr>
              <w:pStyle w:val="16"/>
            </w:pPr>
            <w:r>
              <w:t>数量</w:t>
            </w:r>
          </w:p>
        </w:tc>
        <w:tc>
          <w:tcPr>
            <w:tcW w:w="924" w:type="dxa"/>
            <w:vMerge w:val="restart"/>
            <w:vAlign w:val="center"/>
          </w:tcPr>
          <w:p>
            <w:pPr>
              <w:pStyle w:val="16"/>
            </w:pPr>
            <w:r>
              <w:t>单价</w:t>
            </w:r>
          </w:p>
        </w:tc>
        <w:tc>
          <w:tcPr>
            <w:tcW w:w="7392" w:type="dxa"/>
            <w:gridSpan w:val="8"/>
            <w:vAlign w:val="center"/>
          </w:tcPr>
          <w:p>
            <w:pPr>
              <w:pStyle w:val="16"/>
            </w:pPr>
            <w:r>
              <w:t>政府采购金额（当年部门预算安排资金）</w:t>
            </w:r>
          </w:p>
        </w:tc>
        <w:tc>
          <w:tcPr>
            <w:tcW w:w="924" w:type="dxa"/>
            <w:vMerge w:val="restart"/>
            <w:vAlign w:val="center"/>
          </w:tcPr>
          <w:p>
            <w:pPr>
              <w:pStyle w:val="16"/>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01" w:hRule="atLeast"/>
          <w:tblHeader/>
          <w:jc w:val="center"/>
        </w:trPr>
        <w:tc>
          <w:tcPr>
            <w:tcW w:w="924" w:type="dxa"/>
            <w:vAlign w:val="center"/>
          </w:tcPr>
          <w:p>
            <w:pPr>
              <w:pStyle w:val="16"/>
            </w:pPr>
            <w:r>
              <w:t>项目名称</w:t>
            </w:r>
          </w:p>
        </w:tc>
        <w:tc>
          <w:tcPr>
            <w:tcW w:w="924" w:type="dxa"/>
            <w:vAlign w:val="center"/>
          </w:tcPr>
          <w:p>
            <w:pPr>
              <w:pStyle w:val="16"/>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6"/>
            </w:pPr>
            <w:r>
              <w:t>合计</w:t>
            </w:r>
          </w:p>
        </w:tc>
        <w:tc>
          <w:tcPr>
            <w:tcW w:w="924" w:type="dxa"/>
            <w:vAlign w:val="center"/>
          </w:tcPr>
          <w:p>
            <w:pPr>
              <w:pStyle w:val="16"/>
            </w:pPr>
            <w:r>
              <w:t>一般公共预算拨款</w:t>
            </w:r>
          </w:p>
        </w:tc>
        <w:tc>
          <w:tcPr>
            <w:tcW w:w="924" w:type="dxa"/>
            <w:vAlign w:val="center"/>
          </w:tcPr>
          <w:p>
            <w:pPr>
              <w:pStyle w:val="16"/>
            </w:pPr>
            <w:r>
              <w:t>基金预算拨款</w:t>
            </w:r>
          </w:p>
        </w:tc>
        <w:tc>
          <w:tcPr>
            <w:tcW w:w="924" w:type="dxa"/>
            <w:vAlign w:val="center"/>
          </w:tcPr>
          <w:p>
            <w:pPr>
              <w:pStyle w:val="16"/>
            </w:pPr>
            <w:r>
              <w:t>国有资本经营预算拨款</w:t>
            </w:r>
          </w:p>
        </w:tc>
        <w:tc>
          <w:tcPr>
            <w:tcW w:w="924" w:type="dxa"/>
            <w:vAlign w:val="center"/>
          </w:tcPr>
          <w:p>
            <w:pPr>
              <w:pStyle w:val="16"/>
            </w:pPr>
            <w:r>
              <w:t>财政专户核拨</w:t>
            </w:r>
          </w:p>
        </w:tc>
        <w:tc>
          <w:tcPr>
            <w:tcW w:w="924" w:type="dxa"/>
            <w:vAlign w:val="center"/>
          </w:tcPr>
          <w:p>
            <w:pPr>
              <w:pStyle w:val="16"/>
            </w:pPr>
            <w:r>
              <w:t>单位    资金</w:t>
            </w:r>
          </w:p>
        </w:tc>
        <w:tc>
          <w:tcPr>
            <w:tcW w:w="924" w:type="dxa"/>
            <w:vAlign w:val="center"/>
          </w:tcPr>
          <w:p>
            <w:pPr>
              <w:pStyle w:val="16"/>
            </w:pPr>
            <w:r>
              <w:t>财政拨    款结转</w:t>
            </w:r>
          </w:p>
        </w:tc>
        <w:tc>
          <w:tcPr>
            <w:tcW w:w="924" w:type="dxa"/>
            <w:vAlign w:val="center"/>
          </w:tcPr>
          <w:p>
            <w:pPr>
              <w:pStyle w:val="16"/>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21"/>
            </w:pPr>
            <w:r>
              <w:t>合  计</w:t>
            </w:r>
          </w:p>
        </w:tc>
        <w:tc>
          <w:tcPr>
            <w:tcW w:w="924" w:type="dxa"/>
            <w:vAlign w:val="center"/>
          </w:tcPr>
          <w:p>
            <w:pPr>
              <w:pStyle w:val="22"/>
            </w:pPr>
          </w:p>
        </w:tc>
        <w:tc>
          <w:tcPr>
            <w:tcW w:w="924" w:type="dxa"/>
            <w:vAlign w:val="center"/>
          </w:tcPr>
          <w:p>
            <w:pPr>
              <w:pStyle w:val="14"/>
            </w:pPr>
          </w:p>
        </w:tc>
        <w:tc>
          <w:tcPr>
            <w:tcW w:w="924" w:type="dxa"/>
            <w:vAlign w:val="center"/>
          </w:tcPr>
          <w:p>
            <w:pPr>
              <w:pStyle w:val="14"/>
            </w:pPr>
          </w:p>
        </w:tc>
        <w:tc>
          <w:tcPr>
            <w:tcW w:w="924" w:type="dxa"/>
            <w:vAlign w:val="center"/>
          </w:tcPr>
          <w:p>
            <w:pPr>
              <w:pStyle w:val="21"/>
            </w:pPr>
          </w:p>
        </w:tc>
        <w:tc>
          <w:tcPr>
            <w:tcW w:w="924" w:type="dxa"/>
            <w:vAlign w:val="center"/>
          </w:tcPr>
          <w:p>
            <w:pPr>
              <w:pStyle w:val="22"/>
            </w:pPr>
          </w:p>
        </w:tc>
        <w:tc>
          <w:tcPr>
            <w:tcW w:w="924" w:type="dxa"/>
            <w:vAlign w:val="center"/>
          </w:tcPr>
          <w:p>
            <w:pPr>
              <w:pStyle w:val="22"/>
            </w:pPr>
          </w:p>
        </w:tc>
        <w:tc>
          <w:tcPr>
            <w:tcW w:w="924" w:type="dxa"/>
            <w:vAlign w:val="center"/>
          </w:tcPr>
          <w:p>
            <w:pPr>
              <w:pStyle w:val="22"/>
              <w:rPr>
                <w:rFonts w:hint="default" w:eastAsia="方正书宋_GBK"/>
                <w:lang w:val="en-US" w:eastAsia="zh-CN"/>
              </w:rPr>
            </w:pPr>
            <w:r>
              <w:rPr>
                <w:rFonts w:hint="eastAsia"/>
                <w:lang w:val="en-US" w:eastAsia="zh-CN"/>
              </w:rPr>
              <w:t>150</w:t>
            </w:r>
          </w:p>
        </w:tc>
        <w:tc>
          <w:tcPr>
            <w:tcW w:w="924" w:type="dxa"/>
            <w:vAlign w:val="center"/>
          </w:tcPr>
          <w:p>
            <w:pPr>
              <w:pStyle w:val="22"/>
              <w:rPr>
                <w:rFonts w:hint="default" w:eastAsia="方正书宋_GBK"/>
                <w:lang w:val="en-US" w:eastAsia="zh-CN"/>
              </w:rPr>
            </w:pPr>
            <w:r>
              <w:rPr>
                <w:rFonts w:hint="eastAsia"/>
                <w:lang w:val="en-US" w:eastAsia="zh-CN"/>
              </w:rPr>
              <w:t>150</w:t>
            </w:r>
          </w:p>
        </w:tc>
        <w:tc>
          <w:tcPr>
            <w:tcW w:w="924" w:type="dxa"/>
            <w:vAlign w:val="center"/>
          </w:tcPr>
          <w:p>
            <w:pPr>
              <w:pStyle w:val="22"/>
            </w:pPr>
          </w:p>
        </w:tc>
        <w:tc>
          <w:tcPr>
            <w:tcW w:w="924" w:type="dxa"/>
            <w:vAlign w:val="center"/>
          </w:tcPr>
          <w:p>
            <w:pPr>
              <w:pStyle w:val="22"/>
            </w:pPr>
          </w:p>
        </w:tc>
        <w:tc>
          <w:tcPr>
            <w:tcW w:w="924" w:type="dxa"/>
            <w:vAlign w:val="center"/>
          </w:tcPr>
          <w:p>
            <w:pPr>
              <w:pStyle w:val="22"/>
            </w:pPr>
          </w:p>
        </w:tc>
        <w:tc>
          <w:tcPr>
            <w:tcW w:w="924" w:type="dxa"/>
            <w:vAlign w:val="center"/>
          </w:tcPr>
          <w:p>
            <w:pPr>
              <w:pStyle w:val="22"/>
            </w:pPr>
          </w:p>
        </w:tc>
        <w:tc>
          <w:tcPr>
            <w:tcW w:w="924" w:type="dxa"/>
            <w:vAlign w:val="center"/>
          </w:tcPr>
          <w:p>
            <w:pPr>
              <w:pStyle w:val="22"/>
            </w:pPr>
          </w:p>
        </w:tc>
        <w:tc>
          <w:tcPr>
            <w:tcW w:w="924" w:type="dxa"/>
            <w:vAlign w:val="center"/>
          </w:tcPr>
          <w:p>
            <w:pPr>
              <w:pStyle w:val="22"/>
            </w:pPr>
          </w:p>
        </w:tc>
        <w:tc>
          <w:tcPr>
            <w:tcW w:w="924" w:type="dxa"/>
            <w:vAlign w:val="center"/>
          </w:tcPr>
          <w:p>
            <w:pPr>
              <w:pStyle w:val="22"/>
              <w:jc w:val="center"/>
              <w:rPr>
                <w:rFonts w:hint="default" w:eastAsia="方正书宋_GBK"/>
                <w:lang w:val="en-US" w:eastAsia="zh-CN"/>
              </w:rPr>
            </w:pPr>
            <w:r>
              <w:rPr>
                <w:rFonts w:hint="eastAsia"/>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rPr>
                <w:rFonts w:ascii="方正书宋_GBK" w:hAnsi="方正书宋_GBK" w:eastAsia="方正书宋_GBK" w:cs="方正书宋_GBK"/>
                <w:kern w:val="0"/>
                <w:sz w:val="21"/>
                <w:szCs w:val="24"/>
                <w:lang w:val="en-US" w:eastAsia="uk-UA" w:bidi="ar-SA"/>
              </w:rPr>
            </w:pPr>
            <w:r>
              <w:t>2023年春节亮化工程</w:t>
            </w:r>
          </w:p>
        </w:tc>
        <w:tc>
          <w:tcPr>
            <w:tcW w:w="924" w:type="dxa"/>
            <w:vAlign w:val="center"/>
          </w:tcPr>
          <w:p>
            <w:pPr>
              <w:pStyle w:val="15"/>
              <w:rPr>
                <w:rFonts w:ascii="方正书宋_GBK" w:hAnsi="方正书宋_GBK" w:eastAsia="方正书宋_GBK" w:cs="方正书宋_GBK"/>
                <w:kern w:val="0"/>
                <w:sz w:val="21"/>
                <w:szCs w:val="24"/>
                <w:lang w:val="en-US" w:eastAsia="uk-UA" w:bidi="ar-SA"/>
              </w:rPr>
            </w:pPr>
            <w:r>
              <w:t>50.00</w:t>
            </w:r>
          </w:p>
        </w:tc>
        <w:tc>
          <w:tcPr>
            <w:tcW w:w="924" w:type="dxa"/>
            <w:vAlign w:val="center"/>
          </w:tcPr>
          <w:p>
            <w:pPr>
              <w:pStyle w:val="17"/>
              <w:rPr>
                <w:rFonts w:ascii="方正书宋_GBK" w:hAnsi="方正书宋_GBK" w:eastAsia="方正书宋_GBK" w:cs="方正书宋_GBK"/>
                <w:kern w:val="0"/>
                <w:sz w:val="21"/>
                <w:szCs w:val="24"/>
                <w:lang w:val="en-US" w:eastAsia="uk-UA" w:bidi="ar-SA"/>
              </w:rPr>
            </w:pPr>
            <w:r>
              <w:t>其他建筑工程</w:t>
            </w:r>
          </w:p>
        </w:tc>
        <w:tc>
          <w:tcPr>
            <w:tcW w:w="924" w:type="dxa"/>
            <w:vAlign w:val="center"/>
          </w:tcPr>
          <w:p>
            <w:pPr>
              <w:pStyle w:val="17"/>
              <w:rPr>
                <w:rFonts w:ascii="方正书宋_GBK" w:hAnsi="方正书宋_GBK" w:eastAsia="方正书宋_GBK" w:cs="方正书宋_GBK"/>
                <w:kern w:val="0"/>
                <w:sz w:val="21"/>
                <w:szCs w:val="24"/>
                <w:lang w:val="en-US" w:eastAsia="uk-UA" w:bidi="ar-SA"/>
              </w:rPr>
            </w:pPr>
            <w:r>
              <w:t>B99000000</w:t>
            </w:r>
          </w:p>
        </w:tc>
        <w:tc>
          <w:tcPr>
            <w:tcW w:w="924" w:type="dxa"/>
            <w:vAlign w:val="center"/>
          </w:tcPr>
          <w:p>
            <w:pPr>
              <w:pStyle w:val="18"/>
              <w:rPr>
                <w:rFonts w:ascii="方正书宋_GBK" w:hAnsi="方正书宋_GBK" w:eastAsia="方正书宋_GBK" w:cs="方正书宋_GBK"/>
                <w:kern w:val="0"/>
                <w:sz w:val="21"/>
                <w:szCs w:val="24"/>
                <w:lang w:val="en-US" w:eastAsia="uk-UA" w:bidi="ar-SA"/>
              </w:rPr>
            </w:pPr>
            <w:r>
              <w:t>万元</w:t>
            </w:r>
          </w:p>
        </w:tc>
        <w:tc>
          <w:tcPr>
            <w:tcW w:w="924" w:type="dxa"/>
            <w:vAlign w:val="center"/>
          </w:tcPr>
          <w:p>
            <w:pPr>
              <w:pStyle w:val="15"/>
              <w:rPr>
                <w:rFonts w:ascii="方正书宋_GBK" w:hAnsi="方正书宋_GBK" w:eastAsia="方正书宋_GBK" w:cs="方正书宋_GBK"/>
                <w:kern w:val="0"/>
                <w:sz w:val="21"/>
                <w:szCs w:val="24"/>
                <w:lang w:val="en-US" w:eastAsia="uk-UA" w:bidi="ar-SA"/>
              </w:rPr>
            </w:pPr>
            <w:r>
              <w:t>1</w:t>
            </w:r>
          </w:p>
        </w:tc>
        <w:tc>
          <w:tcPr>
            <w:tcW w:w="924" w:type="dxa"/>
            <w:vAlign w:val="center"/>
          </w:tcPr>
          <w:p>
            <w:pPr>
              <w:pStyle w:val="15"/>
              <w:rPr>
                <w:rFonts w:ascii="方正书宋_GBK" w:hAnsi="方正书宋_GBK" w:eastAsia="方正书宋_GBK" w:cs="方正书宋_GBK"/>
                <w:kern w:val="0"/>
                <w:sz w:val="21"/>
                <w:szCs w:val="24"/>
                <w:lang w:val="en-US" w:eastAsia="uk-UA" w:bidi="ar-SA"/>
              </w:rPr>
            </w:pPr>
            <w:r>
              <w:t>50.00</w:t>
            </w:r>
          </w:p>
        </w:tc>
        <w:tc>
          <w:tcPr>
            <w:tcW w:w="924" w:type="dxa"/>
            <w:vAlign w:val="center"/>
          </w:tcPr>
          <w:p>
            <w:pPr>
              <w:pStyle w:val="22"/>
              <w:rPr>
                <w:rFonts w:hint="default" w:eastAsia="方正书宋_GBK"/>
                <w:lang w:val="en-US" w:eastAsia="zh-CN"/>
              </w:rPr>
            </w:pPr>
            <w:r>
              <w:rPr>
                <w:rFonts w:hint="eastAsia"/>
                <w:lang w:val="en-US" w:eastAsia="zh-CN"/>
              </w:rPr>
              <w:t>50</w:t>
            </w:r>
          </w:p>
        </w:tc>
        <w:tc>
          <w:tcPr>
            <w:tcW w:w="924" w:type="dxa"/>
            <w:vAlign w:val="center"/>
          </w:tcPr>
          <w:p>
            <w:pPr>
              <w:pStyle w:val="22"/>
              <w:rPr>
                <w:rFonts w:hint="default" w:eastAsia="方正书宋_GBK"/>
                <w:lang w:val="en-US" w:eastAsia="zh-CN"/>
              </w:rPr>
            </w:pPr>
            <w:r>
              <w:rPr>
                <w:rFonts w:hint="eastAsia"/>
                <w:lang w:val="en-US" w:eastAsia="zh-CN"/>
              </w:rPr>
              <w:t>50</w:t>
            </w:r>
          </w:p>
        </w:tc>
        <w:tc>
          <w:tcPr>
            <w:tcW w:w="924" w:type="dxa"/>
            <w:vAlign w:val="center"/>
          </w:tcPr>
          <w:p>
            <w:pPr>
              <w:pStyle w:val="22"/>
            </w:pPr>
          </w:p>
        </w:tc>
        <w:tc>
          <w:tcPr>
            <w:tcW w:w="924" w:type="dxa"/>
            <w:vAlign w:val="center"/>
          </w:tcPr>
          <w:p>
            <w:pPr>
              <w:pStyle w:val="22"/>
            </w:pPr>
          </w:p>
        </w:tc>
        <w:tc>
          <w:tcPr>
            <w:tcW w:w="924" w:type="dxa"/>
            <w:vAlign w:val="center"/>
          </w:tcPr>
          <w:p>
            <w:pPr>
              <w:pStyle w:val="22"/>
            </w:pPr>
          </w:p>
        </w:tc>
        <w:tc>
          <w:tcPr>
            <w:tcW w:w="924" w:type="dxa"/>
            <w:vAlign w:val="center"/>
          </w:tcPr>
          <w:p>
            <w:pPr>
              <w:pStyle w:val="22"/>
            </w:pPr>
          </w:p>
        </w:tc>
        <w:tc>
          <w:tcPr>
            <w:tcW w:w="924" w:type="dxa"/>
            <w:vAlign w:val="center"/>
          </w:tcPr>
          <w:p>
            <w:pPr>
              <w:pStyle w:val="22"/>
            </w:pPr>
          </w:p>
        </w:tc>
        <w:tc>
          <w:tcPr>
            <w:tcW w:w="924" w:type="dxa"/>
            <w:vAlign w:val="center"/>
          </w:tcPr>
          <w:p>
            <w:pPr>
              <w:pStyle w:val="22"/>
            </w:pPr>
          </w:p>
        </w:tc>
        <w:tc>
          <w:tcPr>
            <w:tcW w:w="924" w:type="dxa"/>
            <w:vAlign w:val="center"/>
          </w:tcPr>
          <w:p>
            <w:pPr>
              <w:pStyle w:val="22"/>
              <w:jc w:val="center"/>
              <w:rPr>
                <w:rFonts w:hint="default" w:eastAsia="方正书宋_GBK"/>
                <w:lang w:val="en-US" w:eastAsia="zh-CN"/>
              </w:rPr>
            </w:pPr>
            <w:r>
              <w:rPr>
                <w:rFonts w:hint="eastAsia"/>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rPr>
                <w:rFonts w:ascii="方正书宋_GBK" w:hAnsi="方正书宋_GBK" w:eastAsia="方正书宋_GBK" w:cs="方正书宋_GBK"/>
                <w:kern w:val="0"/>
                <w:sz w:val="21"/>
                <w:szCs w:val="24"/>
                <w:lang w:val="en-US" w:eastAsia="uk-UA" w:bidi="ar-SA"/>
              </w:rPr>
            </w:pPr>
            <w:r>
              <w:t>城区新增绿化管护</w:t>
            </w:r>
          </w:p>
        </w:tc>
        <w:tc>
          <w:tcPr>
            <w:tcW w:w="924" w:type="dxa"/>
            <w:vAlign w:val="center"/>
          </w:tcPr>
          <w:p>
            <w:pPr>
              <w:pStyle w:val="15"/>
              <w:rPr>
                <w:rFonts w:ascii="方正书宋_GBK" w:hAnsi="方正书宋_GBK" w:eastAsia="方正书宋_GBK" w:cs="方正书宋_GBK"/>
                <w:kern w:val="0"/>
                <w:sz w:val="21"/>
                <w:szCs w:val="24"/>
                <w:lang w:val="en-US" w:eastAsia="uk-UA" w:bidi="ar-SA"/>
              </w:rPr>
            </w:pPr>
            <w:r>
              <w:t>100.00</w:t>
            </w:r>
          </w:p>
        </w:tc>
        <w:tc>
          <w:tcPr>
            <w:tcW w:w="924" w:type="dxa"/>
            <w:vAlign w:val="center"/>
          </w:tcPr>
          <w:p>
            <w:pPr>
              <w:pStyle w:val="17"/>
              <w:rPr>
                <w:rFonts w:ascii="方正书宋_GBK" w:hAnsi="方正书宋_GBK" w:eastAsia="方正书宋_GBK" w:cs="方正书宋_GBK"/>
                <w:kern w:val="0"/>
                <w:sz w:val="21"/>
                <w:szCs w:val="24"/>
                <w:lang w:val="en-US" w:eastAsia="uk-UA" w:bidi="ar-SA"/>
              </w:rPr>
            </w:pPr>
            <w:r>
              <w:t>其他建筑工程</w:t>
            </w:r>
          </w:p>
        </w:tc>
        <w:tc>
          <w:tcPr>
            <w:tcW w:w="924" w:type="dxa"/>
            <w:vAlign w:val="center"/>
          </w:tcPr>
          <w:p>
            <w:pPr>
              <w:pStyle w:val="17"/>
              <w:rPr>
                <w:rFonts w:ascii="方正书宋_GBK" w:hAnsi="方正书宋_GBK" w:eastAsia="方正书宋_GBK" w:cs="方正书宋_GBK"/>
                <w:kern w:val="0"/>
                <w:sz w:val="21"/>
                <w:szCs w:val="24"/>
                <w:lang w:val="en-US" w:eastAsia="uk-UA" w:bidi="ar-SA"/>
              </w:rPr>
            </w:pPr>
            <w:r>
              <w:t>B99000000</w:t>
            </w:r>
          </w:p>
        </w:tc>
        <w:tc>
          <w:tcPr>
            <w:tcW w:w="924"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924" w:type="dxa"/>
            <w:vAlign w:val="center"/>
          </w:tcPr>
          <w:p>
            <w:pPr>
              <w:pStyle w:val="15"/>
              <w:rPr>
                <w:rFonts w:ascii="方正书宋_GBK" w:hAnsi="方正书宋_GBK" w:eastAsia="方正书宋_GBK" w:cs="方正书宋_GBK"/>
                <w:kern w:val="0"/>
                <w:sz w:val="21"/>
                <w:szCs w:val="24"/>
                <w:lang w:val="en-US" w:eastAsia="uk-UA" w:bidi="ar-SA"/>
              </w:rPr>
            </w:pPr>
            <w:r>
              <w:t>1</w:t>
            </w:r>
          </w:p>
        </w:tc>
        <w:tc>
          <w:tcPr>
            <w:tcW w:w="924" w:type="dxa"/>
            <w:vAlign w:val="center"/>
          </w:tcPr>
          <w:p>
            <w:pPr>
              <w:pStyle w:val="15"/>
              <w:rPr>
                <w:rFonts w:ascii="方正书宋_GBK" w:hAnsi="方正书宋_GBK" w:eastAsia="方正书宋_GBK" w:cs="方正书宋_GBK"/>
                <w:kern w:val="0"/>
                <w:sz w:val="21"/>
                <w:szCs w:val="24"/>
                <w:lang w:val="en-US" w:eastAsia="uk-UA" w:bidi="ar-SA"/>
              </w:rPr>
            </w:pPr>
            <w:r>
              <w:t>100.00</w:t>
            </w:r>
          </w:p>
        </w:tc>
        <w:tc>
          <w:tcPr>
            <w:tcW w:w="924" w:type="dxa"/>
            <w:vAlign w:val="center"/>
          </w:tcPr>
          <w:p>
            <w:pPr>
              <w:pStyle w:val="15"/>
              <w:rPr>
                <w:rFonts w:ascii="方正书宋_GBK" w:hAnsi="方正书宋_GBK" w:eastAsia="方正书宋_GBK" w:cs="方正书宋_GBK"/>
                <w:kern w:val="0"/>
                <w:sz w:val="21"/>
                <w:szCs w:val="24"/>
                <w:lang w:val="en-US" w:eastAsia="uk-UA" w:bidi="ar-SA"/>
              </w:rPr>
            </w:pPr>
            <w:r>
              <w:t>100.00</w:t>
            </w:r>
          </w:p>
        </w:tc>
        <w:tc>
          <w:tcPr>
            <w:tcW w:w="924" w:type="dxa"/>
            <w:vAlign w:val="center"/>
          </w:tcPr>
          <w:p>
            <w:pPr>
              <w:pStyle w:val="15"/>
              <w:rPr>
                <w:rFonts w:ascii="方正书宋_GBK" w:hAnsi="方正书宋_GBK" w:eastAsia="方正书宋_GBK" w:cs="方正书宋_GBK"/>
                <w:kern w:val="0"/>
                <w:sz w:val="21"/>
                <w:szCs w:val="24"/>
                <w:lang w:val="en-US" w:eastAsia="uk-UA" w:bidi="ar-SA"/>
              </w:rPr>
            </w:pPr>
            <w:r>
              <w:t>100.00</w:t>
            </w:r>
          </w:p>
        </w:tc>
        <w:tc>
          <w:tcPr>
            <w:tcW w:w="924" w:type="dxa"/>
            <w:vAlign w:val="center"/>
          </w:tcPr>
          <w:p>
            <w:pPr>
              <w:pStyle w:val="15"/>
              <w:rPr>
                <w:rFonts w:ascii="方正书宋_GBK" w:hAnsi="方正书宋_GBK" w:eastAsia="方正书宋_GBK" w:cs="方正书宋_GBK"/>
                <w:kern w:val="0"/>
                <w:sz w:val="21"/>
                <w:szCs w:val="24"/>
                <w:lang w:val="en-US" w:eastAsia="uk-UA" w:bidi="ar-SA"/>
              </w:rPr>
            </w:pPr>
          </w:p>
        </w:tc>
        <w:tc>
          <w:tcPr>
            <w:tcW w:w="924" w:type="dxa"/>
            <w:vAlign w:val="center"/>
          </w:tcPr>
          <w:p>
            <w:pPr>
              <w:pStyle w:val="15"/>
              <w:rPr>
                <w:rFonts w:ascii="方正书宋_GBK" w:hAnsi="方正书宋_GBK" w:eastAsia="方正书宋_GBK" w:cs="方正书宋_GBK"/>
                <w:kern w:val="0"/>
                <w:sz w:val="21"/>
                <w:szCs w:val="24"/>
                <w:lang w:val="en-US" w:eastAsia="uk-UA" w:bidi="ar-SA"/>
              </w:rPr>
            </w:pPr>
          </w:p>
        </w:tc>
        <w:tc>
          <w:tcPr>
            <w:tcW w:w="924" w:type="dxa"/>
            <w:vAlign w:val="center"/>
          </w:tcPr>
          <w:p>
            <w:pPr>
              <w:pStyle w:val="15"/>
              <w:rPr>
                <w:rFonts w:ascii="方正书宋_GBK" w:hAnsi="方正书宋_GBK" w:eastAsia="方正书宋_GBK" w:cs="方正书宋_GBK"/>
                <w:kern w:val="0"/>
                <w:sz w:val="21"/>
                <w:szCs w:val="24"/>
                <w:lang w:val="en-US" w:eastAsia="uk-UA" w:bidi="ar-SA"/>
              </w:rPr>
            </w:pPr>
          </w:p>
        </w:tc>
        <w:tc>
          <w:tcPr>
            <w:tcW w:w="924" w:type="dxa"/>
            <w:vAlign w:val="center"/>
          </w:tcPr>
          <w:p>
            <w:pPr>
              <w:pStyle w:val="15"/>
              <w:rPr>
                <w:rFonts w:ascii="方正书宋_GBK" w:hAnsi="方正书宋_GBK" w:eastAsia="方正书宋_GBK" w:cs="方正书宋_GBK"/>
                <w:kern w:val="0"/>
                <w:sz w:val="21"/>
                <w:szCs w:val="24"/>
                <w:lang w:val="en-US" w:eastAsia="uk-UA" w:bidi="ar-SA"/>
              </w:rPr>
            </w:pPr>
          </w:p>
        </w:tc>
        <w:tc>
          <w:tcPr>
            <w:tcW w:w="924" w:type="dxa"/>
            <w:vAlign w:val="center"/>
          </w:tcPr>
          <w:p>
            <w:pPr>
              <w:pStyle w:val="15"/>
              <w:rPr>
                <w:rFonts w:ascii="方正书宋_GBK" w:hAnsi="方正书宋_GBK" w:eastAsia="方正书宋_GBK" w:cs="方正书宋_GBK"/>
                <w:kern w:val="0"/>
                <w:sz w:val="21"/>
                <w:szCs w:val="24"/>
                <w:lang w:val="en-US" w:eastAsia="uk-UA" w:bidi="ar-SA"/>
              </w:rPr>
            </w:pPr>
          </w:p>
        </w:tc>
        <w:tc>
          <w:tcPr>
            <w:tcW w:w="924" w:type="dxa"/>
            <w:vAlign w:val="center"/>
          </w:tcPr>
          <w:p>
            <w:pPr>
              <w:pStyle w:val="15"/>
              <w:rPr>
                <w:rFonts w:ascii="方正书宋_GBK" w:hAnsi="方正书宋_GBK" w:eastAsia="方正书宋_GBK" w:cs="方正书宋_GBK"/>
                <w:kern w:val="0"/>
                <w:sz w:val="21"/>
                <w:szCs w:val="24"/>
                <w:lang w:val="en-US" w:eastAsia="uk-UA" w:bidi="ar-SA"/>
              </w:rPr>
            </w:pPr>
          </w:p>
        </w:tc>
        <w:tc>
          <w:tcPr>
            <w:tcW w:w="924" w:type="dxa"/>
            <w:vAlign w:val="center"/>
          </w:tcPr>
          <w:p>
            <w:pPr>
              <w:pStyle w:val="15"/>
              <w:rPr>
                <w:rFonts w:ascii="方正书宋_GBK" w:hAnsi="方正书宋_GBK" w:eastAsia="方正书宋_GBK" w:cs="方正书宋_GBK"/>
                <w:kern w:val="0"/>
                <w:sz w:val="21"/>
                <w:szCs w:val="24"/>
                <w:lang w:val="en-US" w:eastAsia="uk-UA" w:bidi="ar-SA"/>
              </w:rPr>
            </w:pPr>
            <w:r>
              <w:t>100.00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ascii="Times New Roman" w:hAnsi="Times New Roman" w:eastAsia="仿宋_GB2312" w:cs="Times New Roman"/>
          <w:sz w:val="32"/>
          <w:szCs w:val="24"/>
        </w:rPr>
      </w:pPr>
      <w:r>
        <w:rPr>
          <w:rFonts w:ascii="Times New Roman" w:hAnsi="Times New Roman" w:eastAsia="方正仿宋_GBK" w:cs="Times New Roman"/>
          <w:color w:val="000000"/>
          <w:sz w:val="32"/>
        </w:rPr>
        <w:t xml:space="preserve"> </w:t>
      </w:r>
    </w:p>
    <w:bookmarkEnd w:id="46"/>
    <w:p>
      <w:pPr>
        <w:spacing w:line="584" w:lineRule="exact"/>
        <w:jc w:val="left"/>
        <w:outlineLvl w:val="0"/>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园林绿化中心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291.71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绿化用工程车</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rPr>
              <w:t>园林绿化中心</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291.71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4750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rPr>
              <w:t>18.</w:t>
            </w:r>
            <w:r>
              <w:rPr>
                <w:rFonts w:hint="eastAsia" w:ascii="Times New Roman" w:hAnsi="Times New Roman" w:eastAsia="仿宋_GB2312" w:cs="Times New Roman"/>
                <w:sz w:val="22"/>
                <w:lang w:val="en-US" w:eastAsia="zh-CN"/>
              </w:rPr>
              <w:t>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rPr>
              <w:t>1</w:t>
            </w:r>
            <w:r>
              <w:rPr>
                <w:rFonts w:hint="eastAsia" w:ascii="Times New Roman" w:hAnsi="Times New Roman" w:eastAsia="仿宋_GB2312" w:cs="Times New Roman"/>
                <w:sz w:val="22"/>
                <w:lang w:val="en-US" w:eastAsia="zh-CN"/>
              </w:rPr>
              <w:t>8.82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rPr>
              <w:t>1</w:t>
            </w: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95.07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136.99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47" w:name="_GoBack"/>
      <w:bookmarkEnd w:id="47"/>
      <w:r>
        <w:rPr>
          <w:rFonts w:ascii="Times New Roman" w:hAnsi="Times New Roman" w:eastAsia="仿宋_GB2312" w:cs="Times New Roman"/>
          <w:sz w:val="32"/>
          <w:szCs w:val="32"/>
        </w:rPr>
        <w:t>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7DAE3"/>
    <w:multiLevelType w:val="singleLevel"/>
    <w:tmpl w:val="BCC7DAE3"/>
    <w:lvl w:ilvl="0" w:tentative="0">
      <w:start w:val="1"/>
      <w:numFmt w:val="chineseCounting"/>
      <w:suff w:val="nothing"/>
      <w:lvlText w:val="（%1）"/>
      <w:lvlJc w:val="left"/>
      <w:rPr>
        <w:rFonts w:hint="eastAsia"/>
      </w:rPr>
    </w:lvl>
  </w:abstractNum>
  <w:abstractNum w:abstractNumId="1">
    <w:nsid w:val="E53CB8F9"/>
    <w:multiLevelType w:val="singleLevel"/>
    <w:tmpl w:val="E53CB8F9"/>
    <w:lvl w:ilvl="0" w:tentative="0">
      <w:start w:val="1"/>
      <w:numFmt w:val="decimal"/>
      <w:suff w:val="nothing"/>
      <w:lvlText w:val="%1、"/>
      <w:lvlJc w:val="left"/>
    </w:lvl>
  </w:abstractNum>
  <w:abstractNum w:abstractNumId="2">
    <w:nsid w:val="EEBE0F84"/>
    <w:multiLevelType w:val="singleLevel"/>
    <w:tmpl w:val="EEBE0F84"/>
    <w:lvl w:ilvl="0" w:tentative="0">
      <w:start w:val="1"/>
      <w:numFmt w:val="decimal"/>
      <w:suff w:val="nothing"/>
      <w:lvlText w:val="%1、"/>
      <w:lvlJc w:val="left"/>
    </w:lvl>
  </w:abstractNum>
  <w:abstractNum w:abstractNumId="3">
    <w:nsid w:val="6C896738"/>
    <w:multiLevelType w:val="singleLevel"/>
    <w:tmpl w:val="6C896738"/>
    <w:lvl w:ilvl="0" w:tentative="0">
      <w:start w:val="5"/>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N2RhOTU1ZTJiNzIxZjVmM2ZkYmUyZTdjMjQ5YmIifQ=="/>
  </w:docVars>
  <w:rsids>
    <w:rsidRoot w:val="00D347CC"/>
    <w:rsid w:val="00007D86"/>
    <w:rsid w:val="0001701D"/>
    <w:rsid w:val="000274CC"/>
    <w:rsid w:val="001C1ECC"/>
    <w:rsid w:val="002936FE"/>
    <w:rsid w:val="002C7716"/>
    <w:rsid w:val="00440409"/>
    <w:rsid w:val="004A34CA"/>
    <w:rsid w:val="004A54AA"/>
    <w:rsid w:val="004F2381"/>
    <w:rsid w:val="00551566"/>
    <w:rsid w:val="00660AC0"/>
    <w:rsid w:val="007216B9"/>
    <w:rsid w:val="00741520"/>
    <w:rsid w:val="007C03A7"/>
    <w:rsid w:val="007D234F"/>
    <w:rsid w:val="00861DD3"/>
    <w:rsid w:val="00940421"/>
    <w:rsid w:val="009C0E60"/>
    <w:rsid w:val="009D6EC9"/>
    <w:rsid w:val="00A32D70"/>
    <w:rsid w:val="00A5751E"/>
    <w:rsid w:val="00AB1BD0"/>
    <w:rsid w:val="00B80935"/>
    <w:rsid w:val="00BD1ACE"/>
    <w:rsid w:val="00CF181C"/>
    <w:rsid w:val="00D347CC"/>
    <w:rsid w:val="00D77538"/>
    <w:rsid w:val="00DC702A"/>
    <w:rsid w:val="00EE67B1"/>
    <w:rsid w:val="00F85553"/>
    <w:rsid w:val="01333526"/>
    <w:rsid w:val="02714961"/>
    <w:rsid w:val="02E80375"/>
    <w:rsid w:val="04562DA0"/>
    <w:rsid w:val="04A02373"/>
    <w:rsid w:val="053F2BFF"/>
    <w:rsid w:val="05B42311"/>
    <w:rsid w:val="09231E9C"/>
    <w:rsid w:val="095D2155"/>
    <w:rsid w:val="0A4D09FA"/>
    <w:rsid w:val="0A9C74A3"/>
    <w:rsid w:val="0AD9492E"/>
    <w:rsid w:val="0D904269"/>
    <w:rsid w:val="0E0F072B"/>
    <w:rsid w:val="13032E01"/>
    <w:rsid w:val="17574390"/>
    <w:rsid w:val="17D92858"/>
    <w:rsid w:val="182341EC"/>
    <w:rsid w:val="18D931E6"/>
    <w:rsid w:val="192F030A"/>
    <w:rsid w:val="1AE36482"/>
    <w:rsid w:val="1AFE0363"/>
    <w:rsid w:val="1BA906C4"/>
    <w:rsid w:val="1C2E3EFF"/>
    <w:rsid w:val="1C4D0333"/>
    <w:rsid w:val="218139DC"/>
    <w:rsid w:val="23CF6550"/>
    <w:rsid w:val="257C4607"/>
    <w:rsid w:val="264A4233"/>
    <w:rsid w:val="282141DA"/>
    <w:rsid w:val="286961E4"/>
    <w:rsid w:val="28863D2A"/>
    <w:rsid w:val="297204CF"/>
    <w:rsid w:val="2BED0413"/>
    <w:rsid w:val="2F0E3C28"/>
    <w:rsid w:val="2F4E44F9"/>
    <w:rsid w:val="2FC25F14"/>
    <w:rsid w:val="32F424D1"/>
    <w:rsid w:val="33985C47"/>
    <w:rsid w:val="352C79EC"/>
    <w:rsid w:val="35706F8D"/>
    <w:rsid w:val="365F1466"/>
    <w:rsid w:val="36F7469C"/>
    <w:rsid w:val="3A8F501F"/>
    <w:rsid w:val="3D5246AE"/>
    <w:rsid w:val="3DED3A8F"/>
    <w:rsid w:val="3FD03AF7"/>
    <w:rsid w:val="41923141"/>
    <w:rsid w:val="43D03C7D"/>
    <w:rsid w:val="453E5D7D"/>
    <w:rsid w:val="45886F5D"/>
    <w:rsid w:val="45D45A98"/>
    <w:rsid w:val="47194AC5"/>
    <w:rsid w:val="472750BC"/>
    <w:rsid w:val="477912EF"/>
    <w:rsid w:val="49610B69"/>
    <w:rsid w:val="4ED33307"/>
    <w:rsid w:val="50C94E9A"/>
    <w:rsid w:val="50E855FE"/>
    <w:rsid w:val="53C44C70"/>
    <w:rsid w:val="55175FF1"/>
    <w:rsid w:val="57AB06EA"/>
    <w:rsid w:val="5E45622F"/>
    <w:rsid w:val="628A69E8"/>
    <w:rsid w:val="63DA389D"/>
    <w:rsid w:val="640326C4"/>
    <w:rsid w:val="646E3508"/>
    <w:rsid w:val="65755781"/>
    <w:rsid w:val="66BD2C8F"/>
    <w:rsid w:val="67A51722"/>
    <w:rsid w:val="68C71491"/>
    <w:rsid w:val="699305CF"/>
    <w:rsid w:val="69F8719C"/>
    <w:rsid w:val="6C416444"/>
    <w:rsid w:val="74F32E08"/>
    <w:rsid w:val="75171828"/>
    <w:rsid w:val="77325D07"/>
    <w:rsid w:val="79247024"/>
    <w:rsid w:val="7B7225F0"/>
    <w:rsid w:val="7B99217B"/>
    <w:rsid w:val="7CB225D2"/>
    <w:rsid w:val="7FD6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character" w:customStyle="1" w:styleId="11">
    <w:name w:val="页脚 Char"/>
    <w:basedOn w:val="9"/>
    <w:link w:val="3"/>
    <w:qFormat/>
    <w:uiPriority w:val="99"/>
    <w:rPr>
      <w:kern w:val="2"/>
      <w:sz w:val="18"/>
      <w:szCs w:val="18"/>
    </w:rPr>
  </w:style>
  <w:style w:type="character" w:customStyle="1" w:styleId="12">
    <w:name w:val="页眉 Char"/>
    <w:basedOn w:val="9"/>
    <w:link w:val="4"/>
    <w:qFormat/>
    <w:uiPriority w:val="99"/>
    <w:rPr>
      <w:kern w:val="2"/>
      <w:sz w:val="18"/>
      <w:szCs w:val="18"/>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8">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2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63</Pages>
  <Words>18449</Words>
  <Characters>19642</Characters>
  <Lines>194</Lines>
  <Paragraphs>54</Paragraphs>
  <TotalTime>24</TotalTime>
  <ScaleCrop>false</ScaleCrop>
  <LinksUpToDate>false</LinksUpToDate>
  <CharactersWithSpaces>19779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哪溡錵汧</cp:lastModifiedBy>
  <cp:lastPrinted>2018-01-30T06:12:00Z</cp:lastPrinted>
  <dcterms:modified xsi:type="dcterms:W3CDTF">2023-08-16T03:35:56Z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8A302E5D627B42D8BCE8E6454CDF8AF8_13</vt:lpwstr>
  </property>
</Properties>
</file>